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36" w:rsidRPr="00E8769B" w:rsidRDefault="00323036" w:rsidP="00323036">
      <w:pPr>
        <w:jc w:val="both"/>
        <w:rPr>
          <w:b/>
          <w:bCs/>
          <w:lang w:val="fr-FR"/>
        </w:rPr>
      </w:pPr>
      <w:r w:rsidRPr="00E8769B">
        <w:rPr>
          <w:b/>
          <w:bCs/>
          <w:lang w:val="fr-FR"/>
        </w:rPr>
        <w:t>Contexte</w:t>
      </w:r>
    </w:p>
    <w:p w:rsidR="00323036" w:rsidRPr="00E8769B" w:rsidRDefault="00323036" w:rsidP="00C054BF">
      <w:pPr>
        <w:jc w:val="both"/>
        <w:rPr>
          <w:lang w:val="fr-FR"/>
        </w:rPr>
      </w:pPr>
      <w:r w:rsidRPr="00E8769B">
        <w:rPr>
          <w:lang w:val="fr-FR"/>
        </w:rPr>
        <w:t>Conformément a</w:t>
      </w:r>
      <w:r w:rsidR="00A13C10" w:rsidRPr="00E8769B">
        <w:rPr>
          <w:lang w:val="fr-FR"/>
        </w:rPr>
        <w:t>ux décisions de 2017 du Comité Technique S</w:t>
      </w:r>
      <w:r w:rsidRPr="00E8769B">
        <w:rPr>
          <w:lang w:val="fr-FR"/>
        </w:rPr>
        <w:t>pécialisé (STC-</w:t>
      </w:r>
      <w:r w:rsidR="00A13C10" w:rsidRPr="00E8769B">
        <w:rPr>
          <w:lang w:val="fr-FR"/>
        </w:rPr>
        <w:t>S</w:t>
      </w:r>
      <w:r w:rsidRPr="00E8769B">
        <w:rPr>
          <w:lang w:val="fr-FR"/>
        </w:rPr>
        <w:t>PC</w:t>
      </w:r>
      <w:r w:rsidR="00A13C10" w:rsidRPr="00E8769B">
        <w:rPr>
          <w:lang w:val="fr-FR"/>
        </w:rPr>
        <w:t>D</w:t>
      </w:r>
      <w:r w:rsidRPr="00E8769B">
        <w:rPr>
          <w:lang w:val="fr-FR"/>
        </w:rPr>
        <w:t>) pour la santé, la population et le contrôle des drogues de l'Union africaine d'entreprendre un examen ministériel de la mise en œuvre de la Déclaration d'Addis-Abeba sur la population et le développement en Afrique (AADPD ) et de contribuer à l'examen et à l'évaluation de la mise en œuvre du Programme d'action de la CIPD par la Commission des Nations Unies sur la population et le développement en avril 2019, le 25e anniversaire de la CIPD, la Commission de l'Union africaine (CUA)</w:t>
      </w:r>
      <w:r w:rsidR="00C054BF">
        <w:rPr>
          <w:lang w:val="fr-FR"/>
        </w:rPr>
        <w:t>,</w:t>
      </w:r>
      <w:r w:rsidR="001E4511">
        <w:rPr>
          <w:lang w:val="fr-FR"/>
        </w:rPr>
        <w:t xml:space="preserve"> </w:t>
      </w:r>
      <w:r w:rsidRPr="00E8769B">
        <w:rPr>
          <w:lang w:val="fr-FR"/>
        </w:rPr>
        <w:t>la CEA et d</w:t>
      </w:r>
      <w:r w:rsidR="00C054BF">
        <w:rPr>
          <w:lang w:val="fr-FR"/>
        </w:rPr>
        <w:t>e l’UNFPA</w:t>
      </w:r>
      <w:r w:rsidRPr="00E8769B">
        <w:rPr>
          <w:lang w:val="fr-FR"/>
        </w:rPr>
        <w:t>, ont convenu d'un certain nombre de jalons importants qui aboutiront à une réunion continentale d'experts et de ministres du 2 au 5 octobre 2018.</w:t>
      </w:r>
    </w:p>
    <w:p w:rsidR="00C20384" w:rsidRPr="00E8769B" w:rsidRDefault="00C20384" w:rsidP="00C20384">
      <w:pPr>
        <w:jc w:val="both"/>
        <w:rPr>
          <w:lang w:val="fr-FR"/>
        </w:rPr>
      </w:pPr>
    </w:p>
    <w:p w:rsidR="00323036" w:rsidRPr="00E8769B" w:rsidRDefault="00323036" w:rsidP="00473978">
      <w:pPr>
        <w:jc w:val="both"/>
        <w:rPr>
          <w:lang w:val="fr-FR"/>
        </w:rPr>
      </w:pPr>
      <w:r w:rsidRPr="00E8769B">
        <w:rPr>
          <w:lang w:val="fr-FR"/>
        </w:rPr>
        <w:t xml:space="preserve">Au niveau national, les 54 États membres de la CUA sont censés mener des processus d'examen multisectoriels et consultatifs </w:t>
      </w:r>
      <w:r w:rsidR="00A13C10" w:rsidRPr="00E8769B">
        <w:rPr>
          <w:lang w:val="fr-FR"/>
        </w:rPr>
        <w:t>au niveau d</w:t>
      </w:r>
      <w:r w:rsidRPr="00E8769B">
        <w:rPr>
          <w:lang w:val="fr-FR"/>
        </w:rPr>
        <w:t xml:space="preserve">es pays et soumettre des rapports nationaux d'examen de la CIPD au plus tard </w:t>
      </w:r>
      <w:r w:rsidRPr="00E8769B">
        <w:rPr>
          <w:b/>
          <w:bCs/>
          <w:lang w:val="fr-FR"/>
        </w:rPr>
        <w:t>le 30 avril 2018</w:t>
      </w:r>
      <w:r w:rsidRPr="00E8769B">
        <w:rPr>
          <w:lang w:val="fr-FR"/>
        </w:rPr>
        <w:t xml:space="preserve">. L'objectif de ces </w:t>
      </w:r>
      <w:r w:rsidR="000D0061" w:rsidRPr="00E8769B">
        <w:rPr>
          <w:lang w:val="fr-FR"/>
        </w:rPr>
        <w:t>processus d'examen et d</w:t>
      </w:r>
      <w:r w:rsidRPr="00E8769B">
        <w:rPr>
          <w:lang w:val="fr-FR"/>
        </w:rPr>
        <w:t>es rapports nationaux consiste à examiner les progrès de la Déclaration d'Addis-Abeba sur la population et le développement</w:t>
      </w:r>
      <w:r w:rsidR="001E4511">
        <w:rPr>
          <w:lang w:val="fr-FR"/>
        </w:rPr>
        <w:t xml:space="preserve"> </w:t>
      </w:r>
      <w:r w:rsidR="008B1265" w:rsidRPr="00E8769B">
        <w:rPr>
          <w:lang w:val="fr-FR"/>
        </w:rPr>
        <w:t xml:space="preserve">(DAAPD) </w:t>
      </w:r>
      <w:r w:rsidRPr="00E8769B">
        <w:rPr>
          <w:lang w:val="fr-FR"/>
        </w:rPr>
        <w:t xml:space="preserve">au-delà de 2014, à identifier les </w:t>
      </w:r>
      <w:r w:rsidR="008B1265" w:rsidRPr="00E8769B">
        <w:rPr>
          <w:lang w:val="fr-FR"/>
        </w:rPr>
        <w:t xml:space="preserve">faiblesses </w:t>
      </w:r>
      <w:r w:rsidRPr="00E8769B">
        <w:rPr>
          <w:lang w:val="fr-FR"/>
        </w:rPr>
        <w:t>et les défis et à faire progresser les plaidoyer</w:t>
      </w:r>
      <w:r w:rsidR="002D4174" w:rsidRPr="00E8769B">
        <w:rPr>
          <w:lang w:val="fr-FR"/>
        </w:rPr>
        <w:t xml:space="preserve">s et les changements politiques conformément aux engagements consignés dans </w:t>
      </w:r>
      <w:r w:rsidR="001E4511">
        <w:rPr>
          <w:lang w:val="fr-FR"/>
        </w:rPr>
        <w:t xml:space="preserve">la </w:t>
      </w:r>
      <w:r w:rsidR="002D4174" w:rsidRPr="00E8769B">
        <w:rPr>
          <w:lang w:val="fr-FR"/>
        </w:rPr>
        <w:t>D</w:t>
      </w:r>
      <w:r w:rsidRPr="00E8769B">
        <w:rPr>
          <w:lang w:val="fr-FR"/>
        </w:rPr>
        <w:t xml:space="preserve">AAPD. En outre, tel </w:t>
      </w:r>
      <w:r w:rsidR="002D4174" w:rsidRPr="00E8769B">
        <w:rPr>
          <w:lang w:val="fr-FR"/>
        </w:rPr>
        <w:t>que recommandé par le Comité d'Experts sur la Population A</w:t>
      </w:r>
      <w:r w:rsidRPr="00E8769B">
        <w:rPr>
          <w:lang w:val="fr-FR"/>
        </w:rPr>
        <w:t xml:space="preserve">fricaine (APEC) et décidé par le </w:t>
      </w:r>
      <w:r w:rsidR="00473978" w:rsidRPr="00E8769B">
        <w:rPr>
          <w:lang w:val="fr-FR"/>
        </w:rPr>
        <w:t>CTS</w:t>
      </w:r>
      <w:r w:rsidRPr="00E8769B">
        <w:rPr>
          <w:lang w:val="fr-FR"/>
        </w:rPr>
        <w:t>-</w:t>
      </w:r>
      <w:r w:rsidR="00473978" w:rsidRPr="00E8769B">
        <w:rPr>
          <w:lang w:val="fr-FR"/>
        </w:rPr>
        <w:t>SPCD</w:t>
      </w:r>
      <w:r w:rsidRPr="00E8769B">
        <w:rPr>
          <w:lang w:val="fr-FR"/>
        </w:rPr>
        <w:t xml:space="preserve">, ces rapports nationaux seront basés sur le Guide opérationnel de la Déclaration d'Addis-Abeba sur la population et le développement au-delà de 2014 et les </w:t>
      </w:r>
      <w:r w:rsidR="00473978" w:rsidRPr="00E8769B">
        <w:rPr>
          <w:lang w:val="fr-FR"/>
        </w:rPr>
        <w:t>indicateurs Cadre</w:t>
      </w:r>
      <w:r w:rsidR="001E4511">
        <w:rPr>
          <w:lang w:val="fr-FR"/>
        </w:rPr>
        <w:t>s</w:t>
      </w:r>
      <w:r w:rsidR="00473978" w:rsidRPr="00E8769B">
        <w:rPr>
          <w:lang w:val="fr-FR"/>
        </w:rPr>
        <w:t xml:space="preserve"> de suivi et </w:t>
      </w:r>
      <w:r w:rsidRPr="00E8769B">
        <w:rPr>
          <w:lang w:val="fr-FR"/>
        </w:rPr>
        <w:t>évaluation (AADPD OG).</w:t>
      </w:r>
    </w:p>
    <w:p w:rsidR="00C20384" w:rsidRPr="00E8769B" w:rsidRDefault="00C20384" w:rsidP="00C20384">
      <w:pPr>
        <w:jc w:val="both"/>
        <w:rPr>
          <w:lang w:val="fr-FR"/>
        </w:rPr>
      </w:pPr>
    </w:p>
    <w:p w:rsidR="00323036" w:rsidRPr="00E8769B" w:rsidRDefault="00323036" w:rsidP="002B560D">
      <w:pPr>
        <w:jc w:val="both"/>
        <w:rPr>
          <w:lang w:val="fr-FR"/>
        </w:rPr>
      </w:pPr>
      <w:r w:rsidRPr="00E8769B">
        <w:rPr>
          <w:lang w:val="fr-FR"/>
        </w:rPr>
        <w:t xml:space="preserve">Cet outil (AADPD OG) devrait permettre aux États membres d'évaluer dans quelle mesure ils ont respecté les engagements reflétés dans l'AADPD au cours des cinq dernières années, en fournissant des données sur un ensemble d'indicateurs </w:t>
      </w:r>
      <w:r w:rsidR="002B560D" w:rsidRPr="00E8769B">
        <w:rPr>
          <w:lang w:val="fr-FR"/>
        </w:rPr>
        <w:t xml:space="preserve">convenus </w:t>
      </w:r>
      <w:r w:rsidRPr="00E8769B">
        <w:rPr>
          <w:lang w:val="fr-FR"/>
        </w:rPr>
        <w:t>à différents niveaux de changement (</w:t>
      </w:r>
      <w:r w:rsidR="002B560D" w:rsidRPr="00E8769B">
        <w:rPr>
          <w:lang w:val="fr-FR"/>
        </w:rPr>
        <w:t>intrant</w:t>
      </w:r>
      <w:r w:rsidRPr="00E8769B">
        <w:rPr>
          <w:lang w:val="fr-FR"/>
        </w:rPr>
        <w:t xml:space="preserve">, processus et </w:t>
      </w:r>
      <w:r w:rsidR="002B560D" w:rsidRPr="00E8769B">
        <w:rPr>
          <w:lang w:val="fr-FR"/>
        </w:rPr>
        <w:t>produits/</w:t>
      </w:r>
      <w:r w:rsidRPr="00E8769B">
        <w:rPr>
          <w:lang w:val="fr-FR"/>
        </w:rPr>
        <w:t xml:space="preserve">indicateurs d'impact). En outre, le rapport national permet aux pays de mettre en évidence des politiques, stratégies et programmes innovants qui facilitent la réalisation des engagements et donc la réalisation des priorités nationales, ainsi que les défis qui limitent la réalisation de ces priorités. L'utilisation du guide opérationnel parallèlement à un ensemble de </w:t>
      </w:r>
      <w:r w:rsidR="002B560D" w:rsidRPr="00E8769B">
        <w:rPr>
          <w:lang w:val="fr-FR"/>
        </w:rPr>
        <w:t>principes généraux commun</w:t>
      </w:r>
      <w:r w:rsidRPr="00E8769B">
        <w:rPr>
          <w:lang w:val="fr-FR"/>
        </w:rPr>
        <w:t xml:space="preserve">s pour les rapports nationaux </w:t>
      </w:r>
      <w:proofErr w:type="gramStart"/>
      <w:r w:rsidRPr="00E8769B">
        <w:rPr>
          <w:lang w:val="fr-FR"/>
        </w:rPr>
        <w:t>rationalisera</w:t>
      </w:r>
      <w:proofErr w:type="gramEnd"/>
      <w:r w:rsidRPr="00E8769B">
        <w:rPr>
          <w:lang w:val="fr-FR"/>
        </w:rPr>
        <w:t xml:space="preserve"> les efforts d'é</w:t>
      </w:r>
      <w:r w:rsidR="002B560D" w:rsidRPr="00E8769B">
        <w:rPr>
          <w:lang w:val="fr-FR"/>
        </w:rPr>
        <w:t xml:space="preserve">laboration </w:t>
      </w:r>
      <w:r w:rsidRPr="00E8769B">
        <w:rPr>
          <w:lang w:val="fr-FR"/>
        </w:rPr>
        <w:t xml:space="preserve">de rapports et facilitera la comparabilité entre les pays, </w:t>
      </w:r>
      <w:r w:rsidR="002B560D" w:rsidRPr="00E8769B">
        <w:rPr>
          <w:lang w:val="fr-FR"/>
        </w:rPr>
        <w:t xml:space="preserve">permettant </w:t>
      </w:r>
      <w:r w:rsidRPr="00E8769B">
        <w:rPr>
          <w:lang w:val="fr-FR"/>
        </w:rPr>
        <w:t>ainsi le partage des meilleures pratiques et le transfert ultérieur des connaissances.</w:t>
      </w:r>
    </w:p>
    <w:p w:rsidR="00DC5BA6" w:rsidRPr="00E8769B" w:rsidRDefault="00DC5BA6" w:rsidP="00323036">
      <w:pPr>
        <w:pStyle w:val="Default"/>
        <w:jc w:val="both"/>
        <w:rPr>
          <w:b/>
          <w:bCs/>
          <w:lang w:val="fr-FR"/>
        </w:rPr>
      </w:pPr>
    </w:p>
    <w:p w:rsidR="00323036" w:rsidRPr="00E8769B" w:rsidRDefault="00323036" w:rsidP="00323036">
      <w:pPr>
        <w:pStyle w:val="Default"/>
        <w:jc w:val="both"/>
        <w:rPr>
          <w:b/>
          <w:bCs/>
          <w:lang w:val="fr-FR"/>
        </w:rPr>
      </w:pPr>
      <w:r w:rsidRPr="00E8769B">
        <w:rPr>
          <w:b/>
          <w:bCs/>
          <w:lang w:val="fr-FR"/>
        </w:rPr>
        <w:t>Conseil proposé</w:t>
      </w:r>
    </w:p>
    <w:p w:rsidR="00E8769B" w:rsidRDefault="00E8769B" w:rsidP="00DC5BA6">
      <w:pPr>
        <w:pStyle w:val="Default"/>
        <w:jc w:val="both"/>
        <w:rPr>
          <w:lang w:val="fr-FR"/>
        </w:rPr>
      </w:pPr>
    </w:p>
    <w:p w:rsidR="00323036" w:rsidRPr="00E8769B" w:rsidRDefault="00323036" w:rsidP="00DC5BA6">
      <w:pPr>
        <w:pStyle w:val="Default"/>
        <w:jc w:val="both"/>
        <w:rPr>
          <w:lang w:val="fr-FR"/>
        </w:rPr>
      </w:pPr>
      <w:r w:rsidRPr="00E8769B">
        <w:rPr>
          <w:lang w:val="fr-FR"/>
        </w:rPr>
        <w:t xml:space="preserve">Cette consultation </w:t>
      </w:r>
      <w:r w:rsidR="00DC5BA6" w:rsidRPr="00E8769B">
        <w:rPr>
          <w:lang w:val="fr-FR"/>
        </w:rPr>
        <w:t xml:space="preserve">mettra l’accent </w:t>
      </w:r>
      <w:r w:rsidRPr="00E8769B">
        <w:rPr>
          <w:lang w:val="fr-FR"/>
        </w:rPr>
        <w:t>sur la production du Rapport national d'examen de la CIPD sur la base du Guide opérationnel de la Déclaration d'Addis-Abeba sur la population et le développement et de son cadre de suivi et évaluation (AADPD OG).</w:t>
      </w:r>
    </w:p>
    <w:p w:rsidR="00BC0B82" w:rsidRPr="00E8769B" w:rsidRDefault="00BC0B82" w:rsidP="006C5E73">
      <w:pPr>
        <w:pStyle w:val="Default"/>
        <w:jc w:val="both"/>
        <w:rPr>
          <w:lang w:val="fr-FR"/>
        </w:rPr>
      </w:pPr>
    </w:p>
    <w:p w:rsidR="00323036" w:rsidRPr="00E8769B" w:rsidRDefault="00323036" w:rsidP="001E4511">
      <w:pPr>
        <w:pStyle w:val="Default"/>
        <w:jc w:val="both"/>
        <w:rPr>
          <w:lang w:val="fr-FR"/>
        </w:rPr>
      </w:pPr>
      <w:r w:rsidRPr="00E8769B">
        <w:rPr>
          <w:lang w:val="fr-FR"/>
        </w:rPr>
        <w:t xml:space="preserve">La Déclaration d'Addis-Abeba sur la population et le développement (AADPD) est un cadre </w:t>
      </w:r>
      <w:r w:rsidR="00DC5BA6" w:rsidRPr="00E8769B">
        <w:rPr>
          <w:lang w:val="fr-FR"/>
        </w:rPr>
        <w:t xml:space="preserve">majeur </w:t>
      </w:r>
      <w:r w:rsidRPr="00E8769B">
        <w:rPr>
          <w:lang w:val="fr-FR"/>
        </w:rPr>
        <w:t xml:space="preserve">pour </w:t>
      </w:r>
      <w:r w:rsidR="00DC5BA6" w:rsidRPr="00E8769B">
        <w:rPr>
          <w:lang w:val="fr-FR"/>
        </w:rPr>
        <w:t>traiter d</w:t>
      </w:r>
      <w:r w:rsidRPr="00E8769B">
        <w:rPr>
          <w:lang w:val="fr-FR"/>
        </w:rPr>
        <w:t>es questions de population et d</w:t>
      </w:r>
      <w:r w:rsidR="001E4511">
        <w:rPr>
          <w:lang w:val="fr-FR"/>
        </w:rPr>
        <w:t>e développement en Afrique. Son</w:t>
      </w:r>
      <w:r w:rsidR="00DC5BA6" w:rsidRPr="00E8769B">
        <w:rPr>
          <w:lang w:val="fr-FR"/>
        </w:rPr>
        <w:t xml:space="preserve"> arsenal </w:t>
      </w:r>
      <w:r w:rsidRPr="00E8769B">
        <w:rPr>
          <w:lang w:val="fr-FR"/>
        </w:rPr>
        <w:t xml:space="preserve">d'engagements et d'indicateurs peut </w:t>
      </w:r>
      <w:r w:rsidR="00DC5BA6" w:rsidRPr="00E8769B">
        <w:rPr>
          <w:lang w:val="fr-FR"/>
        </w:rPr>
        <w:t xml:space="preserve">appuyer </w:t>
      </w:r>
      <w:r w:rsidRPr="00E8769B">
        <w:rPr>
          <w:lang w:val="fr-FR"/>
        </w:rPr>
        <w:t xml:space="preserve">simultanément les efforts déployés par l'Afrique pour exploiter </w:t>
      </w:r>
      <w:r w:rsidR="00DC5BA6" w:rsidRPr="00E8769B">
        <w:rPr>
          <w:lang w:val="fr-FR"/>
        </w:rPr>
        <w:t xml:space="preserve">le </w:t>
      </w:r>
      <w:r w:rsidRPr="00E8769B">
        <w:rPr>
          <w:lang w:val="fr-FR"/>
        </w:rPr>
        <w:t>dividende démographique (DD), promouvoir les droits de l'homme et atteindre les objectifs de développement durable. Le suivi de ces engagements et l'é</w:t>
      </w:r>
      <w:r w:rsidR="00DC5BA6" w:rsidRPr="00E8769B">
        <w:rPr>
          <w:lang w:val="fr-FR"/>
        </w:rPr>
        <w:t xml:space="preserve">laboration </w:t>
      </w:r>
      <w:r w:rsidRPr="00E8769B">
        <w:rPr>
          <w:lang w:val="fr-FR"/>
        </w:rPr>
        <w:t xml:space="preserve">de rapports sur les indicateurs dans </w:t>
      </w:r>
      <w:r w:rsidR="00DC5BA6" w:rsidRPr="00E8769B">
        <w:rPr>
          <w:lang w:val="fr-FR"/>
        </w:rPr>
        <w:t xml:space="preserve">le cadre de </w:t>
      </w:r>
      <w:r w:rsidRPr="00E8769B">
        <w:rPr>
          <w:lang w:val="fr-FR"/>
        </w:rPr>
        <w:t>son outil de suivi, l'AADPD</w:t>
      </w:r>
      <w:r w:rsidR="008A7C0C" w:rsidRPr="00E8769B">
        <w:rPr>
          <w:lang w:val="fr-FR"/>
        </w:rPr>
        <w:t xml:space="preserve"> OG</w:t>
      </w:r>
      <w:r w:rsidRPr="00E8769B">
        <w:rPr>
          <w:lang w:val="fr-FR"/>
        </w:rPr>
        <w:t>, contribuera à la réalisation d</w:t>
      </w:r>
      <w:r w:rsidR="001E4511">
        <w:rPr>
          <w:lang w:val="fr-FR"/>
        </w:rPr>
        <w:t>u</w:t>
      </w:r>
      <w:r w:rsidRPr="00E8769B">
        <w:rPr>
          <w:lang w:val="fr-FR"/>
        </w:rPr>
        <w:t xml:space="preserve"> DD et à l</w:t>
      </w:r>
      <w:r w:rsidR="008A7C0C" w:rsidRPr="00E8769B">
        <w:rPr>
          <w:lang w:val="fr-FR"/>
        </w:rPr>
        <w:t xml:space="preserve">’émergence </w:t>
      </w:r>
      <w:r w:rsidRPr="00E8769B">
        <w:rPr>
          <w:lang w:val="fr-FR"/>
        </w:rPr>
        <w:t xml:space="preserve">de «L'Afrique que nous voulons» conformément aux engagements pris dans </w:t>
      </w:r>
      <w:r w:rsidR="008A7C0C" w:rsidRPr="00E8769B">
        <w:rPr>
          <w:lang w:val="fr-FR"/>
        </w:rPr>
        <w:t>l’</w:t>
      </w:r>
      <w:r w:rsidRPr="00E8769B">
        <w:rPr>
          <w:lang w:val="fr-FR"/>
        </w:rPr>
        <w:t xml:space="preserve">Agenda 2063. Il est également important de noter que les indicateurs contenus dans l'AADPD </w:t>
      </w:r>
      <w:r w:rsidR="008A7C0C" w:rsidRPr="00E8769B">
        <w:rPr>
          <w:lang w:val="fr-FR"/>
        </w:rPr>
        <w:lastRenderedPageBreak/>
        <w:t xml:space="preserve">OG </w:t>
      </w:r>
      <w:r w:rsidRPr="00E8769B">
        <w:rPr>
          <w:lang w:val="fr-FR"/>
        </w:rPr>
        <w:t>sont alignés sur les indicateurs de l'Agenda 2063 et du Programme de développement durable à l'horizon 2030. Dans cette optique, le rapport national d'examen de la CIPD peut contribuer à l'é</w:t>
      </w:r>
      <w:r w:rsidR="008A7C0C" w:rsidRPr="00E8769B">
        <w:rPr>
          <w:lang w:val="fr-FR"/>
        </w:rPr>
        <w:t xml:space="preserve">laboration </w:t>
      </w:r>
      <w:r w:rsidRPr="00E8769B">
        <w:rPr>
          <w:lang w:val="fr-FR"/>
        </w:rPr>
        <w:t xml:space="preserve">de rapports nationaux et régionaux sur le programme global de développement durable, tout en </w:t>
      </w:r>
      <w:r w:rsidR="008A7C0C" w:rsidRPr="00E8769B">
        <w:rPr>
          <w:lang w:val="fr-FR"/>
        </w:rPr>
        <w:t xml:space="preserve">mettant en exergue </w:t>
      </w:r>
      <w:r w:rsidRPr="00E8769B">
        <w:rPr>
          <w:lang w:val="fr-FR"/>
        </w:rPr>
        <w:t>les perspectives démographiques nationales cruciales.</w:t>
      </w:r>
    </w:p>
    <w:p w:rsidR="00BC0B82" w:rsidRPr="00E8769B" w:rsidRDefault="00BC0B82" w:rsidP="006C5E73">
      <w:pPr>
        <w:pStyle w:val="Default"/>
        <w:jc w:val="both"/>
        <w:rPr>
          <w:lang w:val="fr-FR"/>
        </w:rPr>
      </w:pPr>
    </w:p>
    <w:p w:rsidR="00323036" w:rsidRPr="00E8769B" w:rsidRDefault="00323036" w:rsidP="00DA29B1">
      <w:pPr>
        <w:pStyle w:val="Default"/>
        <w:jc w:val="both"/>
        <w:rPr>
          <w:lang w:val="fr-FR"/>
        </w:rPr>
      </w:pPr>
      <w:r w:rsidRPr="00E8769B">
        <w:rPr>
          <w:lang w:val="fr-FR"/>
        </w:rPr>
        <w:t xml:space="preserve">Le consultant, en collaboration avec l'équipe du bureau de pays du FNUAP, effectuera des recherches documentaires pour identifier les politiques, programmes et stratégies pertinents, et utilisera les données nationales, alimentera les indicateurs pertinents identifiés dans le GD de l'AADPD, réalisera les analyses nécessaires et rédigera le rapport national d'évaluation AADPD </w:t>
      </w:r>
      <w:r w:rsidR="00DA29B1" w:rsidRPr="00E8769B">
        <w:rPr>
          <w:lang w:val="fr-FR"/>
        </w:rPr>
        <w:t xml:space="preserve">conformément aux </w:t>
      </w:r>
      <w:r w:rsidRPr="00E8769B">
        <w:rPr>
          <w:lang w:val="fr-FR"/>
        </w:rPr>
        <w:t>directives nationales communes en matière d</w:t>
      </w:r>
      <w:r w:rsidR="00DA29B1" w:rsidRPr="00E8769B">
        <w:rPr>
          <w:lang w:val="fr-FR"/>
        </w:rPr>
        <w:t>’élaboration d</w:t>
      </w:r>
      <w:r w:rsidRPr="00E8769B">
        <w:rPr>
          <w:lang w:val="fr-FR"/>
        </w:rPr>
        <w:t>e rapports.</w:t>
      </w:r>
    </w:p>
    <w:p w:rsidR="00E8769B" w:rsidRDefault="00E8769B" w:rsidP="00DA29B1">
      <w:pPr>
        <w:pStyle w:val="Default"/>
        <w:jc w:val="both"/>
        <w:rPr>
          <w:lang w:val="fr-FR"/>
        </w:rPr>
      </w:pPr>
    </w:p>
    <w:p w:rsidR="00323036" w:rsidRPr="00E8769B" w:rsidRDefault="004C3192" w:rsidP="00DA29B1">
      <w:pPr>
        <w:pStyle w:val="Default"/>
        <w:jc w:val="both"/>
        <w:rPr>
          <w:lang w:val="fr-FR"/>
        </w:rPr>
      </w:pPr>
      <w:r w:rsidRPr="00E8769B">
        <w:rPr>
          <w:lang w:val="fr-FR"/>
        </w:rPr>
        <w:t>Il/</w:t>
      </w:r>
      <w:r w:rsidR="00323036" w:rsidRPr="00E8769B">
        <w:rPr>
          <w:lang w:val="fr-FR"/>
        </w:rPr>
        <w:t>elle travaillera avec les re</w:t>
      </w:r>
      <w:r w:rsidR="00DA29B1" w:rsidRPr="00E8769B">
        <w:rPr>
          <w:lang w:val="fr-FR"/>
        </w:rPr>
        <w:t>sponsables des pouvoirs publics d</w:t>
      </w:r>
      <w:r w:rsidR="00323036" w:rsidRPr="00E8769B">
        <w:rPr>
          <w:lang w:val="fr-FR"/>
        </w:rPr>
        <w:t>ans les secteurs pertinents, y compris les bureaux nationaux de statistique</w:t>
      </w:r>
      <w:r w:rsidR="00DA29B1" w:rsidRPr="00E8769B">
        <w:rPr>
          <w:lang w:val="fr-FR"/>
        </w:rPr>
        <w:t>s</w:t>
      </w:r>
      <w:r w:rsidR="00323036" w:rsidRPr="00E8769B">
        <w:rPr>
          <w:lang w:val="fr-FR"/>
        </w:rPr>
        <w:t xml:space="preserve"> et les ministères de tutelle tels que </w:t>
      </w:r>
      <w:r w:rsidR="00DA29B1" w:rsidRPr="00E8769B">
        <w:rPr>
          <w:lang w:val="fr-FR"/>
        </w:rPr>
        <w:t xml:space="preserve">ceux de la </w:t>
      </w:r>
      <w:r w:rsidR="00323036" w:rsidRPr="00E8769B">
        <w:rPr>
          <w:lang w:val="fr-FR"/>
        </w:rPr>
        <w:t xml:space="preserve">Santé, Genre et Jeunesse, entre autres, pour valider les contributions </w:t>
      </w:r>
      <w:r w:rsidR="00DA29B1" w:rsidRPr="00E8769B">
        <w:rPr>
          <w:lang w:val="fr-FR"/>
        </w:rPr>
        <w:t xml:space="preserve">à la l’élaboration du </w:t>
      </w:r>
      <w:r w:rsidR="00323036" w:rsidRPr="00E8769B">
        <w:rPr>
          <w:lang w:val="fr-FR"/>
        </w:rPr>
        <w:t>rapport.</w:t>
      </w:r>
    </w:p>
    <w:p w:rsidR="00E8769B" w:rsidRDefault="00E8769B" w:rsidP="007B40E5">
      <w:pPr>
        <w:pStyle w:val="Default"/>
        <w:jc w:val="both"/>
        <w:rPr>
          <w:lang w:val="fr-FR"/>
        </w:rPr>
      </w:pPr>
    </w:p>
    <w:p w:rsidR="00323036" w:rsidRPr="00E8769B" w:rsidRDefault="00323036" w:rsidP="007B40E5">
      <w:pPr>
        <w:pStyle w:val="Default"/>
        <w:jc w:val="both"/>
        <w:rPr>
          <w:lang w:val="fr-FR"/>
        </w:rPr>
      </w:pPr>
      <w:r w:rsidRPr="00E8769B">
        <w:rPr>
          <w:lang w:val="fr-FR"/>
        </w:rPr>
        <w:t>Avec l'appui de l'équipe du bureau de pays d</w:t>
      </w:r>
      <w:r w:rsidR="00DA29B1" w:rsidRPr="00E8769B">
        <w:rPr>
          <w:lang w:val="fr-FR"/>
        </w:rPr>
        <w:t>e l’UNFPA</w:t>
      </w:r>
      <w:r w:rsidRPr="00E8769B">
        <w:rPr>
          <w:lang w:val="fr-FR"/>
        </w:rPr>
        <w:t xml:space="preserve">, le consultant apportera </w:t>
      </w:r>
      <w:r w:rsidR="00DA29B1" w:rsidRPr="00E8769B">
        <w:rPr>
          <w:lang w:val="fr-FR"/>
        </w:rPr>
        <w:t xml:space="preserve">sa </w:t>
      </w:r>
      <w:r w:rsidRPr="00E8769B">
        <w:rPr>
          <w:lang w:val="fr-FR"/>
        </w:rPr>
        <w:t>contribution substantielle à un processus national de validation dirigé par le gouvernement, au cours duquel le rapport sera examiné par un groupe multipartite comprenant la société civile, les jeunes, les femmes et d'autres grou</w:t>
      </w:r>
      <w:r w:rsidR="00DA29B1" w:rsidRPr="00E8769B">
        <w:rPr>
          <w:lang w:val="fr-FR"/>
        </w:rPr>
        <w:t xml:space="preserve">pes, les universitaires, </w:t>
      </w:r>
      <w:r w:rsidRPr="00E8769B">
        <w:rPr>
          <w:lang w:val="fr-FR"/>
        </w:rPr>
        <w:t>le secteur privé e</w:t>
      </w:r>
      <w:r w:rsidR="00DA29B1" w:rsidRPr="00E8769B">
        <w:rPr>
          <w:lang w:val="fr-FR"/>
        </w:rPr>
        <w:t>t les agences des Nations Unies. Il/</w:t>
      </w:r>
      <w:r w:rsidRPr="00E8769B">
        <w:rPr>
          <w:lang w:val="fr-FR"/>
        </w:rPr>
        <w:t xml:space="preserve">elle </w:t>
      </w:r>
      <w:r w:rsidR="00DA29B1" w:rsidRPr="00E8769B">
        <w:rPr>
          <w:lang w:val="fr-FR"/>
        </w:rPr>
        <w:t xml:space="preserve">aura à </w:t>
      </w:r>
      <w:r w:rsidR="007B40E5" w:rsidRPr="00E8769B">
        <w:rPr>
          <w:lang w:val="fr-FR"/>
        </w:rPr>
        <w:t>faire des présentations</w:t>
      </w:r>
      <w:r w:rsidRPr="00E8769B">
        <w:rPr>
          <w:lang w:val="fr-FR"/>
        </w:rPr>
        <w:t xml:space="preserve"> </w:t>
      </w:r>
      <w:r w:rsidR="007B40E5" w:rsidRPr="00E8769B">
        <w:rPr>
          <w:lang w:val="fr-FR"/>
        </w:rPr>
        <w:t xml:space="preserve">en </w:t>
      </w:r>
      <w:r w:rsidRPr="00E8769B">
        <w:rPr>
          <w:lang w:val="fr-FR"/>
        </w:rPr>
        <w:t>tir</w:t>
      </w:r>
      <w:r w:rsidR="007B40E5" w:rsidRPr="00E8769B">
        <w:rPr>
          <w:lang w:val="fr-FR"/>
        </w:rPr>
        <w:t xml:space="preserve">ant </w:t>
      </w:r>
      <w:r w:rsidRPr="00E8769B">
        <w:rPr>
          <w:lang w:val="fr-FR"/>
        </w:rPr>
        <w:t xml:space="preserve">parti et </w:t>
      </w:r>
      <w:r w:rsidR="007B40E5" w:rsidRPr="00E8769B">
        <w:rPr>
          <w:lang w:val="fr-FR"/>
        </w:rPr>
        <w:t xml:space="preserve">en </w:t>
      </w:r>
      <w:r w:rsidRPr="00E8769B">
        <w:rPr>
          <w:lang w:val="fr-FR"/>
        </w:rPr>
        <w:t>intégr</w:t>
      </w:r>
      <w:r w:rsidR="007B40E5" w:rsidRPr="00E8769B">
        <w:rPr>
          <w:lang w:val="fr-FR"/>
        </w:rPr>
        <w:t xml:space="preserve">ant </w:t>
      </w:r>
      <w:r w:rsidRPr="00E8769B">
        <w:rPr>
          <w:lang w:val="fr-FR"/>
        </w:rPr>
        <w:t xml:space="preserve">les commentaires reçus de l'exercice de validation, </w:t>
      </w:r>
      <w:r w:rsidR="007B40E5" w:rsidRPr="00E8769B">
        <w:rPr>
          <w:lang w:val="fr-FR"/>
        </w:rPr>
        <w:t xml:space="preserve">et devra également </w:t>
      </w:r>
      <w:r w:rsidRPr="00E8769B">
        <w:rPr>
          <w:lang w:val="fr-FR"/>
        </w:rPr>
        <w:t>finaliser le rapport suffisamment à temps pour l</w:t>
      </w:r>
      <w:r w:rsidR="007B40E5" w:rsidRPr="00E8769B">
        <w:rPr>
          <w:lang w:val="fr-FR"/>
        </w:rPr>
        <w:t xml:space="preserve">e soumettre au gouvernement au plus tard le </w:t>
      </w:r>
      <w:r w:rsidRPr="00E8769B">
        <w:rPr>
          <w:lang w:val="fr-FR"/>
        </w:rPr>
        <w:t>(30 avril 2018)</w:t>
      </w:r>
    </w:p>
    <w:p w:rsidR="006B1651" w:rsidRPr="00E8769B" w:rsidRDefault="006B1651" w:rsidP="006B1651">
      <w:pPr>
        <w:pStyle w:val="Default"/>
        <w:rPr>
          <w:lang w:val="fr-FR"/>
        </w:rPr>
      </w:pPr>
    </w:p>
    <w:p w:rsidR="00323036" w:rsidRPr="00E8769B" w:rsidRDefault="00323036" w:rsidP="007B40E5">
      <w:pPr>
        <w:pStyle w:val="Default"/>
        <w:jc w:val="both"/>
        <w:rPr>
          <w:lang w:val="fr-FR"/>
        </w:rPr>
      </w:pPr>
      <w:r w:rsidRPr="00E8769B">
        <w:rPr>
          <w:lang w:val="fr-FR"/>
        </w:rPr>
        <w:t xml:space="preserve">Compte tenu de l'importance de ce travail et du délai </w:t>
      </w:r>
      <w:r w:rsidR="007B40E5" w:rsidRPr="00E8769B">
        <w:rPr>
          <w:lang w:val="fr-FR"/>
        </w:rPr>
        <w:t xml:space="preserve">imparti durant </w:t>
      </w:r>
      <w:r w:rsidRPr="00E8769B">
        <w:rPr>
          <w:lang w:val="fr-FR"/>
        </w:rPr>
        <w:t xml:space="preserve">lequel un produit concret doit être </w:t>
      </w:r>
      <w:r w:rsidR="007B40E5" w:rsidRPr="00E8769B">
        <w:rPr>
          <w:lang w:val="fr-FR"/>
        </w:rPr>
        <w:t>élaboré</w:t>
      </w:r>
      <w:r w:rsidRPr="00E8769B">
        <w:rPr>
          <w:lang w:val="fr-FR"/>
        </w:rPr>
        <w:t xml:space="preserve">, cette consultation a été </w:t>
      </w:r>
      <w:r w:rsidR="007B40E5" w:rsidRPr="00E8769B">
        <w:rPr>
          <w:lang w:val="fr-FR"/>
        </w:rPr>
        <w:t>mise en œuvre afin de f</w:t>
      </w:r>
      <w:r w:rsidRPr="00E8769B">
        <w:rPr>
          <w:lang w:val="fr-FR"/>
        </w:rPr>
        <w:t xml:space="preserve">ournir la capacité et l'expertise nécessaires et </w:t>
      </w:r>
      <w:r w:rsidR="007B40E5" w:rsidRPr="00E8769B">
        <w:rPr>
          <w:lang w:val="fr-FR"/>
        </w:rPr>
        <w:t>d’</w:t>
      </w:r>
      <w:r w:rsidRPr="00E8769B">
        <w:rPr>
          <w:lang w:val="fr-FR"/>
        </w:rPr>
        <w:t>accélérer l</w:t>
      </w:r>
      <w:r w:rsidR="007B40E5" w:rsidRPr="00E8769B">
        <w:rPr>
          <w:lang w:val="fr-FR"/>
        </w:rPr>
        <w:t xml:space="preserve">’élaboration </w:t>
      </w:r>
      <w:r w:rsidRPr="00E8769B">
        <w:rPr>
          <w:lang w:val="fr-FR"/>
        </w:rPr>
        <w:t xml:space="preserve">d'un rapport national d'évaluation AADPD </w:t>
      </w:r>
      <w:r w:rsidR="007B40E5" w:rsidRPr="00E8769B">
        <w:rPr>
          <w:lang w:val="fr-FR"/>
        </w:rPr>
        <w:t>au plus tard le 30 avril 2018.</w:t>
      </w:r>
    </w:p>
    <w:p w:rsidR="00323036" w:rsidRPr="00E8769B" w:rsidRDefault="00323036" w:rsidP="001E4511">
      <w:pPr>
        <w:pStyle w:val="Default"/>
        <w:jc w:val="both"/>
        <w:rPr>
          <w:lang w:val="fr-FR"/>
        </w:rPr>
      </w:pPr>
      <w:r w:rsidRPr="00E8769B">
        <w:rPr>
          <w:lang w:val="fr-FR"/>
        </w:rPr>
        <w:t xml:space="preserve">Au cours de la mission, le consultant travaillera en étroite collaboration avec les </w:t>
      </w:r>
      <w:r w:rsidR="007B40E5" w:rsidRPr="00E8769B">
        <w:rPr>
          <w:lang w:val="fr-FR"/>
        </w:rPr>
        <w:t xml:space="preserve">points focaux </w:t>
      </w:r>
      <w:r w:rsidRPr="00E8769B">
        <w:rPr>
          <w:lang w:val="fr-FR"/>
        </w:rPr>
        <w:t>du bureau de pays et du bureau régional d</w:t>
      </w:r>
      <w:r w:rsidR="007B40E5" w:rsidRPr="00E8769B">
        <w:rPr>
          <w:lang w:val="fr-FR"/>
        </w:rPr>
        <w:t xml:space="preserve">e l’UNFPA </w:t>
      </w:r>
      <w:r w:rsidRPr="00E8769B">
        <w:rPr>
          <w:lang w:val="fr-FR"/>
        </w:rPr>
        <w:t xml:space="preserve">et, grâce à ceux-ci, </w:t>
      </w:r>
      <w:r w:rsidR="007B40E5" w:rsidRPr="00E8769B">
        <w:rPr>
          <w:lang w:val="fr-FR"/>
        </w:rPr>
        <w:t xml:space="preserve">il </w:t>
      </w:r>
      <w:r w:rsidRPr="00E8769B">
        <w:rPr>
          <w:lang w:val="fr-FR"/>
        </w:rPr>
        <w:t>aura accès à une expertise technique plus large au siège d</w:t>
      </w:r>
      <w:r w:rsidR="007B40E5" w:rsidRPr="00E8769B">
        <w:rPr>
          <w:lang w:val="fr-FR"/>
        </w:rPr>
        <w:t>e l’UNFPA</w:t>
      </w:r>
      <w:r w:rsidRPr="00E8769B">
        <w:rPr>
          <w:lang w:val="fr-FR"/>
        </w:rPr>
        <w:t xml:space="preserve"> </w:t>
      </w:r>
      <w:r w:rsidR="007B40E5" w:rsidRPr="00E8769B">
        <w:rPr>
          <w:lang w:val="fr-FR"/>
        </w:rPr>
        <w:t xml:space="preserve">et </w:t>
      </w:r>
      <w:r w:rsidR="001E4511">
        <w:rPr>
          <w:lang w:val="fr-FR"/>
        </w:rPr>
        <w:t>la CEA</w:t>
      </w:r>
      <w:r w:rsidR="007B40E5" w:rsidRPr="00E8769B">
        <w:rPr>
          <w:lang w:val="fr-FR"/>
        </w:rPr>
        <w:t xml:space="preserve"> et la CUA</w:t>
      </w:r>
      <w:r w:rsidRPr="00E8769B">
        <w:rPr>
          <w:lang w:val="fr-FR"/>
        </w:rPr>
        <w:t>.</w:t>
      </w:r>
    </w:p>
    <w:p w:rsidR="006C5E73" w:rsidRPr="00E8769B" w:rsidRDefault="006C5E73" w:rsidP="006C5E73">
      <w:pPr>
        <w:shd w:val="clear" w:color="auto" w:fill="FFFFFF"/>
        <w:jc w:val="both"/>
        <w:rPr>
          <w:lang w:val="fr-FR"/>
        </w:rPr>
      </w:pPr>
    </w:p>
    <w:p w:rsidR="006C5E73" w:rsidRPr="00E8769B" w:rsidRDefault="006C5E73" w:rsidP="006C5E73">
      <w:pPr>
        <w:shd w:val="clear" w:color="auto" w:fill="FFFFFF"/>
        <w:jc w:val="both"/>
        <w:rPr>
          <w:lang w:val="fr-FR"/>
        </w:rPr>
      </w:pPr>
    </w:p>
    <w:p w:rsidR="006C5E73" w:rsidRPr="00E8769B" w:rsidRDefault="006C5E73" w:rsidP="000A60AC">
      <w:pPr>
        <w:tabs>
          <w:tab w:val="left" w:pos="2000"/>
        </w:tabs>
        <w:spacing w:after="240"/>
        <w:jc w:val="both"/>
        <w:rPr>
          <w:lang w:val="fr-FR"/>
        </w:rPr>
      </w:pPr>
      <w:r w:rsidRPr="00E8769B">
        <w:rPr>
          <w:b/>
          <w:lang w:val="fr-FR"/>
        </w:rPr>
        <w:t>D</w:t>
      </w:r>
      <w:r w:rsidR="000A60AC" w:rsidRPr="00E8769B">
        <w:rPr>
          <w:b/>
          <w:lang w:val="fr-FR"/>
        </w:rPr>
        <w:t xml:space="preserve">evoirs et </w:t>
      </w:r>
      <w:r w:rsidRPr="00E8769B">
        <w:rPr>
          <w:b/>
          <w:lang w:val="fr-FR"/>
        </w:rPr>
        <w:t>Respons</w:t>
      </w:r>
      <w:r w:rsidR="000A60AC" w:rsidRPr="00E8769B">
        <w:rPr>
          <w:b/>
          <w:lang w:val="fr-FR"/>
        </w:rPr>
        <w:t xml:space="preserve">abilités </w:t>
      </w:r>
      <w:r w:rsidRPr="00E8769B">
        <w:rPr>
          <w:b/>
          <w:lang w:val="fr-FR"/>
        </w:rPr>
        <w:t xml:space="preserve"> </w:t>
      </w:r>
    </w:p>
    <w:p w:rsidR="006C5E73" w:rsidRPr="00E8769B" w:rsidRDefault="00B90919" w:rsidP="00B90919">
      <w:pPr>
        <w:jc w:val="both"/>
        <w:rPr>
          <w:lang w:val="fr-FR"/>
        </w:rPr>
      </w:pPr>
      <w:r w:rsidRPr="00E8769B">
        <w:rPr>
          <w:lang w:val="fr-FR"/>
        </w:rPr>
        <w:t>En étroite consultation avec l’UNFPA, le consultant</w:t>
      </w:r>
      <w:r w:rsidR="001E4511">
        <w:rPr>
          <w:lang w:val="fr-FR"/>
        </w:rPr>
        <w:t xml:space="preserve"> devra </w:t>
      </w:r>
      <w:r w:rsidRPr="00E8769B">
        <w:rPr>
          <w:lang w:val="fr-FR"/>
        </w:rPr>
        <w:t>:</w:t>
      </w:r>
      <w:r w:rsidR="006C5E73" w:rsidRPr="00E8769B">
        <w:rPr>
          <w:lang w:val="fr-FR"/>
        </w:rPr>
        <w:t xml:space="preserve"> </w:t>
      </w:r>
    </w:p>
    <w:p w:rsidR="007B40E5" w:rsidRPr="00E8769B" w:rsidRDefault="00B90919" w:rsidP="00B90919">
      <w:pPr>
        <w:pStyle w:val="BodyText2"/>
        <w:numPr>
          <w:ilvl w:val="0"/>
          <w:numId w:val="1"/>
        </w:numPr>
        <w:jc w:val="left"/>
        <w:rPr>
          <w:rFonts w:ascii="Times New Roman" w:hAnsi="Times New Roman"/>
          <w:color w:val="auto"/>
          <w:lang w:val="fr-FR"/>
        </w:rPr>
      </w:pPr>
      <w:r w:rsidRPr="00E8769B">
        <w:rPr>
          <w:lang w:val="fr-FR"/>
        </w:rPr>
        <w:t xml:space="preserve">Réaliser </w:t>
      </w:r>
      <w:r w:rsidR="007B40E5" w:rsidRPr="00E8769B">
        <w:rPr>
          <w:lang w:val="fr-FR"/>
        </w:rPr>
        <w:t xml:space="preserve">des recherches documentaires sur les politiques, programmes et stratégies pertinents, </w:t>
      </w:r>
      <w:r w:rsidRPr="00E8769B">
        <w:rPr>
          <w:lang w:val="fr-FR"/>
        </w:rPr>
        <w:t xml:space="preserve">la </w:t>
      </w:r>
      <w:r w:rsidR="007B40E5" w:rsidRPr="00E8769B">
        <w:rPr>
          <w:lang w:val="fr-FR"/>
        </w:rPr>
        <w:t>compilation des données en réponse aux indicateurs identifiés, la vérification des données avec les bureaux nationaux de statistique, les analyses et la rédaction de rapports conformément aux directives nationales</w:t>
      </w:r>
    </w:p>
    <w:p w:rsidR="00B90919" w:rsidRPr="00E8769B" w:rsidRDefault="00B90919" w:rsidP="000A60AC">
      <w:pPr>
        <w:pStyle w:val="BodyText2"/>
        <w:numPr>
          <w:ilvl w:val="0"/>
          <w:numId w:val="1"/>
        </w:numPr>
        <w:jc w:val="left"/>
        <w:rPr>
          <w:rFonts w:ascii="Times New Roman" w:hAnsi="Times New Roman"/>
          <w:color w:val="auto"/>
          <w:lang w:val="fr-FR"/>
        </w:rPr>
      </w:pPr>
      <w:r w:rsidRPr="00E8769B">
        <w:rPr>
          <w:lang w:val="fr-FR"/>
        </w:rPr>
        <w:t>Produire une première ébauche du rapport national conformément à l'orientation thématique de l'AADPD, en s'appuyant sur un ensemble prédéterminé d'indicateurs qui couvrent les six fondamentaux de l'AADPD avec un accent particulier sur la réalisation du dividende démographique et répondre aux besoins des groupes de population laisser pour compte depuis la CIPD en 1994-</w:t>
      </w:r>
    </w:p>
    <w:p w:rsidR="00B90919" w:rsidRPr="00E8769B" w:rsidRDefault="00B90919" w:rsidP="000B5826">
      <w:pPr>
        <w:pStyle w:val="BodyText2"/>
        <w:numPr>
          <w:ilvl w:val="0"/>
          <w:numId w:val="1"/>
        </w:numPr>
        <w:jc w:val="left"/>
        <w:rPr>
          <w:rFonts w:ascii="Times New Roman" w:hAnsi="Times New Roman"/>
          <w:color w:val="auto"/>
          <w:lang w:val="fr-FR"/>
        </w:rPr>
      </w:pPr>
    </w:p>
    <w:p w:rsidR="00933131" w:rsidRPr="00E8769B" w:rsidRDefault="000A60AC" w:rsidP="00933131">
      <w:pPr>
        <w:pStyle w:val="BodyText2"/>
        <w:numPr>
          <w:ilvl w:val="1"/>
          <w:numId w:val="1"/>
        </w:numPr>
        <w:jc w:val="left"/>
        <w:rPr>
          <w:rFonts w:ascii="Times New Roman" w:hAnsi="Times New Roman"/>
          <w:color w:val="auto"/>
          <w:lang w:val="fr-FR"/>
        </w:rPr>
      </w:pPr>
      <w:r w:rsidRPr="00E8769B">
        <w:rPr>
          <w:lang w:val="fr-FR"/>
        </w:rPr>
        <w:t>Dignité et égalité</w:t>
      </w:r>
    </w:p>
    <w:p w:rsidR="00933131" w:rsidRPr="00E8769B" w:rsidRDefault="000A60AC" w:rsidP="00933131">
      <w:pPr>
        <w:pStyle w:val="BodyText2"/>
        <w:numPr>
          <w:ilvl w:val="1"/>
          <w:numId w:val="1"/>
        </w:numPr>
        <w:jc w:val="left"/>
        <w:rPr>
          <w:rFonts w:ascii="Times New Roman" w:hAnsi="Times New Roman"/>
          <w:color w:val="auto"/>
          <w:lang w:val="fr-FR"/>
        </w:rPr>
      </w:pPr>
      <w:r w:rsidRPr="00E8769B">
        <w:rPr>
          <w:rFonts w:ascii="Times New Roman" w:hAnsi="Times New Roman"/>
          <w:color w:val="auto"/>
          <w:lang w:val="fr-FR"/>
        </w:rPr>
        <w:lastRenderedPageBreak/>
        <w:t>Santé</w:t>
      </w:r>
    </w:p>
    <w:p w:rsidR="00933131" w:rsidRPr="00E8769B" w:rsidRDefault="000A60AC" w:rsidP="000A60AC">
      <w:pPr>
        <w:pStyle w:val="BodyText2"/>
        <w:numPr>
          <w:ilvl w:val="1"/>
          <w:numId w:val="1"/>
        </w:numPr>
        <w:jc w:val="left"/>
        <w:rPr>
          <w:rFonts w:ascii="Times New Roman" w:hAnsi="Times New Roman"/>
          <w:color w:val="auto"/>
          <w:lang w:val="fr-FR"/>
        </w:rPr>
      </w:pPr>
      <w:r w:rsidRPr="00E8769B">
        <w:rPr>
          <w:rFonts w:ascii="Times New Roman" w:hAnsi="Times New Roman"/>
          <w:color w:val="auto"/>
          <w:lang w:val="fr-FR"/>
        </w:rPr>
        <w:t>Lieu</w:t>
      </w:r>
      <w:r w:rsidR="00933131" w:rsidRPr="00E8769B">
        <w:rPr>
          <w:rFonts w:ascii="Times New Roman" w:hAnsi="Times New Roman"/>
          <w:color w:val="auto"/>
          <w:lang w:val="fr-FR"/>
        </w:rPr>
        <w:t xml:space="preserve"> &amp; Mobilit</w:t>
      </w:r>
      <w:r w:rsidRPr="00E8769B">
        <w:rPr>
          <w:rFonts w:ascii="Times New Roman" w:hAnsi="Times New Roman"/>
          <w:color w:val="auto"/>
          <w:lang w:val="fr-FR"/>
        </w:rPr>
        <w:t>é</w:t>
      </w:r>
    </w:p>
    <w:p w:rsidR="00933131" w:rsidRPr="00E8769B" w:rsidRDefault="00933131" w:rsidP="00933131">
      <w:pPr>
        <w:pStyle w:val="BodyText2"/>
        <w:numPr>
          <w:ilvl w:val="1"/>
          <w:numId w:val="1"/>
        </w:numPr>
        <w:jc w:val="left"/>
        <w:rPr>
          <w:rFonts w:ascii="Times New Roman" w:hAnsi="Times New Roman"/>
          <w:color w:val="auto"/>
          <w:lang w:val="fr-FR"/>
        </w:rPr>
      </w:pPr>
      <w:r w:rsidRPr="00E8769B">
        <w:rPr>
          <w:rFonts w:ascii="Times New Roman" w:hAnsi="Times New Roman"/>
          <w:color w:val="auto"/>
          <w:lang w:val="fr-FR"/>
        </w:rPr>
        <w:t>Go</w:t>
      </w:r>
      <w:r w:rsidR="000A60AC" w:rsidRPr="00E8769B">
        <w:rPr>
          <w:rFonts w:ascii="Times New Roman" w:hAnsi="Times New Roman"/>
          <w:color w:val="auto"/>
          <w:lang w:val="fr-FR"/>
        </w:rPr>
        <w:t>u</w:t>
      </w:r>
      <w:r w:rsidRPr="00E8769B">
        <w:rPr>
          <w:rFonts w:ascii="Times New Roman" w:hAnsi="Times New Roman"/>
          <w:color w:val="auto"/>
          <w:lang w:val="fr-FR"/>
        </w:rPr>
        <w:t>vernance</w:t>
      </w:r>
    </w:p>
    <w:p w:rsidR="00933131" w:rsidRPr="00E8769B" w:rsidRDefault="00933131" w:rsidP="000A60AC">
      <w:pPr>
        <w:pStyle w:val="BodyText2"/>
        <w:numPr>
          <w:ilvl w:val="1"/>
          <w:numId w:val="1"/>
        </w:numPr>
        <w:jc w:val="left"/>
        <w:rPr>
          <w:rFonts w:ascii="Times New Roman" w:hAnsi="Times New Roman"/>
          <w:color w:val="auto"/>
          <w:lang w:val="fr-FR"/>
        </w:rPr>
      </w:pPr>
      <w:r w:rsidRPr="00E8769B">
        <w:rPr>
          <w:rFonts w:ascii="Times New Roman" w:hAnsi="Times New Roman"/>
          <w:color w:val="auto"/>
          <w:lang w:val="fr-FR"/>
        </w:rPr>
        <w:t>D</w:t>
      </w:r>
      <w:r w:rsidR="000A60AC" w:rsidRPr="00E8769B">
        <w:rPr>
          <w:rFonts w:ascii="Times New Roman" w:hAnsi="Times New Roman"/>
          <w:color w:val="auto"/>
          <w:lang w:val="fr-FR"/>
        </w:rPr>
        <w:t xml:space="preserve">onnées et Statistiques </w:t>
      </w:r>
    </w:p>
    <w:p w:rsidR="00933131" w:rsidRPr="00E8769B" w:rsidRDefault="00933131" w:rsidP="000A60AC">
      <w:pPr>
        <w:pStyle w:val="BodyText2"/>
        <w:numPr>
          <w:ilvl w:val="1"/>
          <w:numId w:val="1"/>
        </w:numPr>
        <w:jc w:val="left"/>
        <w:rPr>
          <w:rFonts w:ascii="Times New Roman" w:hAnsi="Times New Roman"/>
          <w:color w:val="auto"/>
          <w:lang w:val="fr-FR"/>
        </w:rPr>
      </w:pPr>
      <w:r w:rsidRPr="00E8769B">
        <w:rPr>
          <w:rFonts w:ascii="Times New Roman" w:hAnsi="Times New Roman"/>
          <w:color w:val="auto"/>
          <w:lang w:val="fr-FR"/>
        </w:rPr>
        <w:t>Part</w:t>
      </w:r>
      <w:r w:rsidR="000A60AC" w:rsidRPr="00E8769B">
        <w:rPr>
          <w:rFonts w:ascii="Times New Roman" w:hAnsi="Times New Roman"/>
          <w:color w:val="auto"/>
          <w:lang w:val="fr-FR"/>
        </w:rPr>
        <w:t>enariats et Coopé</w:t>
      </w:r>
      <w:r w:rsidRPr="00E8769B">
        <w:rPr>
          <w:rFonts w:ascii="Times New Roman" w:hAnsi="Times New Roman"/>
          <w:color w:val="auto"/>
          <w:lang w:val="fr-FR"/>
        </w:rPr>
        <w:t>ration</w:t>
      </w:r>
    </w:p>
    <w:p w:rsidR="00093926" w:rsidRPr="00E8769B" w:rsidRDefault="00093926" w:rsidP="00093926">
      <w:pPr>
        <w:pStyle w:val="BodyText2"/>
        <w:ind w:left="1440"/>
        <w:jc w:val="left"/>
        <w:rPr>
          <w:rFonts w:ascii="Times New Roman" w:hAnsi="Times New Roman"/>
          <w:color w:val="auto"/>
          <w:lang w:val="fr-FR"/>
        </w:rPr>
      </w:pPr>
    </w:p>
    <w:p w:rsidR="000A60AC" w:rsidRPr="00E8769B" w:rsidRDefault="00093926" w:rsidP="000A60AC">
      <w:pPr>
        <w:pStyle w:val="BodyText2"/>
        <w:numPr>
          <w:ilvl w:val="0"/>
          <w:numId w:val="1"/>
        </w:numPr>
        <w:jc w:val="left"/>
        <w:rPr>
          <w:rFonts w:ascii="Times New Roman" w:hAnsi="Times New Roman"/>
          <w:color w:val="auto"/>
          <w:lang w:val="fr-FR"/>
        </w:rPr>
      </w:pPr>
      <w:r w:rsidRPr="00E8769B">
        <w:rPr>
          <w:rFonts w:asciiTheme="majorBidi" w:hAnsiTheme="majorBidi" w:cstheme="majorBidi"/>
          <w:color w:val="auto"/>
          <w:lang w:val="fr-FR"/>
        </w:rPr>
        <w:t>A</w:t>
      </w:r>
      <w:r w:rsidR="000A60AC" w:rsidRPr="00E8769B">
        <w:rPr>
          <w:rFonts w:asciiTheme="majorBidi" w:hAnsiTheme="majorBidi" w:cstheme="majorBidi"/>
          <w:color w:val="auto"/>
          <w:lang w:val="fr-FR"/>
        </w:rPr>
        <w:t xml:space="preserve">dresser les </w:t>
      </w:r>
      <w:r w:rsidR="000A60AC" w:rsidRPr="00E8769B">
        <w:rPr>
          <w:rFonts w:asciiTheme="majorBidi" w:hAnsiTheme="majorBidi" w:cstheme="majorBidi"/>
          <w:lang w:val="fr-FR"/>
        </w:rPr>
        <w:t>lacunes et défis majeurs dans le domaine de la population et du développement qui entravent la réalisation du dividende démographique sur le continent, notamment: la situation des femmes et des jeunes, les défis persistants tels que la violence et la discrimination basées sur le genre, le mariage des enfants, les mutilations g</w:t>
      </w:r>
      <w:r w:rsidR="00A47CBA">
        <w:rPr>
          <w:rFonts w:asciiTheme="majorBidi" w:hAnsiTheme="majorBidi" w:cstheme="majorBidi"/>
          <w:lang w:val="fr-FR"/>
        </w:rPr>
        <w:t>énitales féminines entre autres.</w:t>
      </w:r>
      <w:r w:rsidR="000A60AC" w:rsidRPr="00E8769B">
        <w:rPr>
          <w:rFonts w:asciiTheme="majorBidi" w:hAnsiTheme="majorBidi" w:cstheme="majorBidi"/>
          <w:lang w:val="fr-FR"/>
        </w:rPr>
        <w:t xml:space="preserve"> Le consultant identifiera les changements politiques et programmatiques pertinents dans ces domaines</w:t>
      </w:r>
      <w:r w:rsidR="000A60AC" w:rsidRPr="00E8769B">
        <w:rPr>
          <w:lang w:val="fr-FR"/>
        </w:rPr>
        <w:t>.</w:t>
      </w:r>
    </w:p>
    <w:p w:rsidR="00093926" w:rsidRPr="00E8769B" w:rsidRDefault="00323036" w:rsidP="00A47CBA">
      <w:pPr>
        <w:pStyle w:val="BodyText2"/>
        <w:numPr>
          <w:ilvl w:val="0"/>
          <w:numId w:val="1"/>
        </w:numPr>
        <w:jc w:val="left"/>
        <w:rPr>
          <w:rFonts w:ascii="Times New Roman" w:hAnsi="Times New Roman"/>
          <w:color w:val="auto"/>
          <w:lang w:val="fr-FR"/>
        </w:rPr>
      </w:pPr>
      <w:r w:rsidRPr="00E8769B">
        <w:rPr>
          <w:lang w:val="fr-FR"/>
        </w:rPr>
        <w:t>Soutenir l'exercice de validation mené par le gouvernement dans le pays en présentant le projet de rapport et les conclusions et en sollicitant les réactions des parties prenantes et des partenaires multisectoriels - société civile, université, secteur privé, partenaires des Nation</w:t>
      </w:r>
      <w:r w:rsidR="000A60AC" w:rsidRPr="00E8769B">
        <w:rPr>
          <w:lang w:val="fr-FR"/>
        </w:rPr>
        <w:t xml:space="preserve">s Unies et autres institutions et avec les conseils et l’appui de l’UNFPA, </w:t>
      </w:r>
      <w:r w:rsidR="00E8769B">
        <w:rPr>
          <w:lang w:val="fr-FR"/>
        </w:rPr>
        <w:t>et en inté</w:t>
      </w:r>
      <w:r w:rsidRPr="00E8769B">
        <w:rPr>
          <w:lang w:val="fr-FR"/>
        </w:rPr>
        <w:t>gr</w:t>
      </w:r>
      <w:r w:rsidR="00A47CBA">
        <w:rPr>
          <w:lang w:val="fr-FR"/>
        </w:rPr>
        <w:t>ant</w:t>
      </w:r>
      <w:r w:rsidR="00E8769B">
        <w:rPr>
          <w:lang w:val="fr-FR"/>
        </w:rPr>
        <w:t xml:space="preserve"> </w:t>
      </w:r>
      <w:r w:rsidRPr="00E8769B">
        <w:rPr>
          <w:lang w:val="fr-FR"/>
        </w:rPr>
        <w:t>les informations pertinentes et finalise</w:t>
      </w:r>
      <w:r w:rsidR="000A60AC" w:rsidRPr="00E8769B">
        <w:rPr>
          <w:lang w:val="fr-FR"/>
        </w:rPr>
        <w:t>r</w:t>
      </w:r>
      <w:r w:rsidRPr="00E8769B">
        <w:rPr>
          <w:lang w:val="fr-FR"/>
        </w:rPr>
        <w:t xml:space="preserve"> le rapport d'examen national.</w:t>
      </w:r>
    </w:p>
    <w:p w:rsidR="00323036" w:rsidRPr="00E8769B" w:rsidRDefault="00323036" w:rsidP="006C5E73">
      <w:pPr>
        <w:jc w:val="both"/>
        <w:rPr>
          <w:b/>
          <w:bCs/>
          <w:lang w:val="fr-FR"/>
        </w:rPr>
      </w:pPr>
    </w:p>
    <w:p w:rsidR="00B54F62" w:rsidRPr="00E8769B" w:rsidRDefault="00B54F62" w:rsidP="00323036">
      <w:pPr>
        <w:jc w:val="both"/>
        <w:rPr>
          <w:b/>
          <w:bCs/>
          <w:lang w:val="fr-FR"/>
        </w:rPr>
      </w:pPr>
    </w:p>
    <w:p w:rsidR="00323036" w:rsidRPr="00E8769B" w:rsidRDefault="00323036" w:rsidP="00323036">
      <w:pPr>
        <w:jc w:val="both"/>
        <w:rPr>
          <w:b/>
          <w:bCs/>
          <w:lang w:val="fr-FR"/>
        </w:rPr>
      </w:pPr>
      <w:r w:rsidRPr="00E8769B">
        <w:rPr>
          <w:b/>
          <w:bCs/>
          <w:lang w:val="fr-FR"/>
        </w:rPr>
        <w:t>La durée prévue</w:t>
      </w:r>
      <w:r w:rsidR="00B54F62" w:rsidRPr="00E8769B">
        <w:rPr>
          <w:b/>
          <w:bCs/>
          <w:lang w:val="fr-FR"/>
        </w:rPr>
        <w:t xml:space="preserve"> de la consultation </w:t>
      </w:r>
    </w:p>
    <w:p w:rsidR="00323036" w:rsidRPr="00E8769B" w:rsidRDefault="00323036" w:rsidP="00323036">
      <w:pPr>
        <w:jc w:val="both"/>
        <w:rPr>
          <w:lang w:val="fr-FR"/>
        </w:rPr>
      </w:pPr>
    </w:p>
    <w:p w:rsidR="00323036" w:rsidRPr="00E8769B" w:rsidRDefault="00323036" w:rsidP="00A47CBA">
      <w:pPr>
        <w:jc w:val="both"/>
        <w:rPr>
          <w:lang w:val="fr-FR"/>
        </w:rPr>
      </w:pPr>
      <w:r w:rsidRPr="00E8769B">
        <w:rPr>
          <w:lang w:val="fr-FR"/>
        </w:rPr>
        <w:t>Cette consultation s</w:t>
      </w:r>
      <w:r w:rsidR="00B54F62" w:rsidRPr="00E8769B">
        <w:rPr>
          <w:lang w:val="fr-FR"/>
        </w:rPr>
        <w:t xml:space="preserve">e fera sur une période de </w:t>
      </w:r>
      <w:r w:rsidR="00A47CBA">
        <w:rPr>
          <w:lang w:val="fr-FR"/>
        </w:rPr>
        <w:t xml:space="preserve">33 </w:t>
      </w:r>
      <w:r w:rsidRPr="00E8769B">
        <w:rPr>
          <w:lang w:val="fr-FR"/>
        </w:rPr>
        <w:t>jours ouvrables</w:t>
      </w:r>
      <w:r w:rsidR="00B54F62" w:rsidRPr="00E8769B">
        <w:rPr>
          <w:lang w:val="fr-FR"/>
        </w:rPr>
        <w:t>,</w:t>
      </w:r>
      <w:r w:rsidRPr="00E8769B">
        <w:rPr>
          <w:lang w:val="fr-FR"/>
        </w:rPr>
        <w:t xml:space="preserve"> </w:t>
      </w:r>
      <w:r w:rsidR="00B54F62" w:rsidRPr="00E8769B">
        <w:rPr>
          <w:lang w:val="fr-FR"/>
        </w:rPr>
        <w:t>du 1</w:t>
      </w:r>
      <w:r w:rsidR="00A47CBA">
        <w:rPr>
          <w:lang w:val="fr-FR"/>
        </w:rPr>
        <w:t>5</w:t>
      </w:r>
      <w:r w:rsidR="00B54F62" w:rsidRPr="00E8769B">
        <w:rPr>
          <w:lang w:val="fr-FR"/>
        </w:rPr>
        <w:t xml:space="preserve"> mars 2018</w:t>
      </w:r>
      <w:r w:rsidRPr="00E8769B">
        <w:rPr>
          <w:lang w:val="fr-FR"/>
        </w:rPr>
        <w:t xml:space="preserve"> au 30 avril 2018.</w:t>
      </w:r>
    </w:p>
    <w:p w:rsidR="00323036" w:rsidRPr="00E8769B" w:rsidRDefault="00323036" w:rsidP="00323036">
      <w:pPr>
        <w:jc w:val="both"/>
        <w:rPr>
          <w:lang w:val="fr-FR"/>
        </w:rPr>
      </w:pPr>
    </w:p>
    <w:p w:rsidR="00323036" w:rsidRPr="00E8769B" w:rsidRDefault="00323036" w:rsidP="00B54F62">
      <w:pPr>
        <w:jc w:val="both"/>
        <w:rPr>
          <w:b/>
          <w:bCs/>
          <w:lang w:val="fr-FR"/>
        </w:rPr>
      </w:pPr>
      <w:r w:rsidRPr="00E8769B">
        <w:rPr>
          <w:b/>
          <w:bCs/>
          <w:lang w:val="fr-FR"/>
        </w:rPr>
        <w:t xml:space="preserve">Résultat </w:t>
      </w:r>
      <w:r w:rsidR="0081018F" w:rsidRPr="00E8769B">
        <w:rPr>
          <w:b/>
          <w:bCs/>
          <w:lang w:val="fr-FR"/>
        </w:rPr>
        <w:t xml:space="preserve">final </w:t>
      </w:r>
      <w:r w:rsidRPr="00E8769B">
        <w:rPr>
          <w:b/>
          <w:bCs/>
          <w:lang w:val="fr-FR"/>
        </w:rPr>
        <w:t>d</w:t>
      </w:r>
      <w:r w:rsidR="00B54F62" w:rsidRPr="00E8769B">
        <w:rPr>
          <w:b/>
          <w:bCs/>
          <w:lang w:val="fr-FR"/>
        </w:rPr>
        <w:t xml:space="preserve">e la mission </w:t>
      </w:r>
    </w:p>
    <w:p w:rsidR="00323036" w:rsidRPr="00E8769B" w:rsidRDefault="00323036" w:rsidP="00323036">
      <w:pPr>
        <w:jc w:val="both"/>
        <w:rPr>
          <w:lang w:val="fr-FR"/>
        </w:rPr>
      </w:pPr>
    </w:p>
    <w:p w:rsidR="00323036" w:rsidRPr="00E8769B" w:rsidRDefault="00323036" w:rsidP="00323036">
      <w:pPr>
        <w:jc w:val="both"/>
        <w:rPr>
          <w:lang w:val="fr-FR"/>
        </w:rPr>
      </w:pPr>
      <w:r w:rsidRPr="00E8769B">
        <w:rPr>
          <w:lang w:val="fr-FR"/>
        </w:rPr>
        <w:t>Rapport d'examen national final de la CIPD @ 25 (AADPD plus cinq) remis.</w:t>
      </w:r>
    </w:p>
    <w:p w:rsidR="00323036" w:rsidRPr="00E8769B" w:rsidRDefault="00323036" w:rsidP="00323036">
      <w:pPr>
        <w:jc w:val="both"/>
        <w:rPr>
          <w:lang w:val="fr-FR"/>
        </w:rPr>
      </w:pPr>
    </w:p>
    <w:p w:rsidR="00323036" w:rsidRPr="00E8769B" w:rsidRDefault="00323036" w:rsidP="00A13C10">
      <w:pPr>
        <w:jc w:val="both"/>
        <w:rPr>
          <w:b/>
          <w:bCs/>
          <w:lang w:val="fr-FR"/>
        </w:rPr>
      </w:pPr>
      <w:r w:rsidRPr="00E8769B">
        <w:rPr>
          <w:b/>
          <w:bCs/>
          <w:lang w:val="fr-FR"/>
        </w:rPr>
        <w:t xml:space="preserve">Les </w:t>
      </w:r>
      <w:r w:rsidR="00A13C10" w:rsidRPr="00E8769B">
        <w:rPr>
          <w:b/>
          <w:bCs/>
          <w:lang w:val="fr-FR"/>
        </w:rPr>
        <w:t>produits ou extrants</w:t>
      </w:r>
    </w:p>
    <w:p w:rsidR="00323036" w:rsidRPr="00E8769B" w:rsidRDefault="00323036" w:rsidP="00A47CBA">
      <w:pPr>
        <w:jc w:val="both"/>
        <w:rPr>
          <w:lang w:val="fr-FR"/>
        </w:rPr>
      </w:pPr>
      <w:r w:rsidRPr="00E8769B">
        <w:rPr>
          <w:lang w:val="fr-FR"/>
        </w:rPr>
        <w:t>1. Premier projet de rapport national d'examen de la CIPD @ 25 (AADPD plus cinq) avant le 1</w:t>
      </w:r>
      <w:r w:rsidR="00A47CBA">
        <w:rPr>
          <w:lang w:val="fr-FR"/>
        </w:rPr>
        <w:t>5</w:t>
      </w:r>
      <w:r w:rsidRPr="00E8769B">
        <w:rPr>
          <w:lang w:val="fr-FR"/>
        </w:rPr>
        <w:t xml:space="preserve"> </w:t>
      </w:r>
      <w:r w:rsidR="00A47CBA">
        <w:rPr>
          <w:lang w:val="fr-FR"/>
        </w:rPr>
        <w:t>avril</w:t>
      </w:r>
      <w:r w:rsidR="00B54F62" w:rsidRPr="00E8769B">
        <w:rPr>
          <w:lang w:val="fr-FR"/>
        </w:rPr>
        <w:t xml:space="preserve"> </w:t>
      </w:r>
      <w:r w:rsidRPr="00E8769B">
        <w:rPr>
          <w:lang w:val="fr-FR"/>
        </w:rPr>
        <w:t>2018.</w:t>
      </w:r>
    </w:p>
    <w:p w:rsidR="00323036" w:rsidRPr="00E8769B" w:rsidRDefault="00323036" w:rsidP="00323036">
      <w:pPr>
        <w:jc w:val="both"/>
        <w:rPr>
          <w:lang w:val="fr-FR"/>
        </w:rPr>
      </w:pPr>
      <w:r w:rsidRPr="00E8769B">
        <w:rPr>
          <w:lang w:val="fr-FR"/>
        </w:rPr>
        <w:t>2. Participation et présentation à l'exercice national de validation</w:t>
      </w:r>
    </w:p>
    <w:p w:rsidR="00323036" w:rsidRPr="00E8769B" w:rsidRDefault="00323036" w:rsidP="00B54F62">
      <w:pPr>
        <w:jc w:val="both"/>
        <w:rPr>
          <w:lang w:val="fr-FR"/>
        </w:rPr>
      </w:pPr>
      <w:r w:rsidRPr="00E8769B">
        <w:rPr>
          <w:lang w:val="fr-FR"/>
        </w:rPr>
        <w:t xml:space="preserve">3. </w:t>
      </w:r>
      <w:r w:rsidR="00B54F62" w:rsidRPr="00E8769B">
        <w:rPr>
          <w:lang w:val="fr-FR"/>
        </w:rPr>
        <w:t xml:space="preserve">Soumission </w:t>
      </w:r>
      <w:r w:rsidRPr="00E8769B">
        <w:rPr>
          <w:lang w:val="fr-FR"/>
        </w:rPr>
        <w:t xml:space="preserve">finale </w:t>
      </w:r>
      <w:r w:rsidR="00B54F62" w:rsidRPr="00E8769B">
        <w:rPr>
          <w:lang w:val="fr-FR"/>
        </w:rPr>
        <w:t xml:space="preserve">du </w:t>
      </w:r>
      <w:r w:rsidRPr="00E8769B">
        <w:rPr>
          <w:lang w:val="fr-FR"/>
        </w:rPr>
        <w:t>Rapport national d'examen de la CIPD @ 25 (AADPD plus cinq) au plus tard le 30 avril2018</w:t>
      </w:r>
    </w:p>
    <w:p w:rsidR="00323036" w:rsidRPr="00E8769B" w:rsidRDefault="00323036" w:rsidP="00323036">
      <w:pPr>
        <w:jc w:val="both"/>
        <w:rPr>
          <w:lang w:val="fr-FR"/>
        </w:rPr>
      </w:pPr>
    </w:p>
    <w:p w:rsidR="00323036" w:rsidRPr="00E8769B" w:rsidRDefault="00323036" w:rsidP="00323036">
      <w:pPr>
        <w:jc w:val="both"/>
        <w:rPr>
          <w:b/>
          <w:bCs/>
          <w:lang w:val="fr-FR"/>
        </w:rPr>
      </w:pPr>
      <w:r w:rsidRPr="00E8769B">
        <w:rPr>
          <w:b/>
          <w:bCs/>
          <w:lang w:val="fr-FR"/>
        </w:rPr>
        <w:t>Rémunération</w:t>
      </w:r>
    </w:p>
    <w:p w:rsidR="00323036" w:rsidRPr="00E8769B" w:rsidRDefault="00323036" w:rsidP="00323036">
      <w:pPr>
        <w:jc w:val="both"/>
        <w:rPr>
          <w:lang w:val="fr-FR"/>
        </w:rPr>
      </w:pPr>
      <w:r w:rsidRPr="00E8769B">
        <w:rPr>
          <w:lang w:val="fr-FR"/>
        </w:rPr>
        <w:t>Le paiement sera effectué sous forme de somme forfaitaire après la présentation du produit final avant le 30 avril 2018.</w:t>
      </w:r>
    </w:p>
    <w:p w:rsidR="006C5E73" w:rsidRPr="00E8769B" w:rsidRDefault="006C5E73" w:rsidP="00B54F62">
      <w:pPr>
        <w:pStyle w:val="Heading3"/>
        <w:spacing w:after="120"/>
        <w:jc w:val="both"/>
        <w:rPr>
          <w:rFonts w:ascii="Times New Roman" w:hAnsi="Times New Roman"/>
          <w:i/>
          <w:iCs/>
          <w:lang w:val="fr-FR"/>
        </w:rPr>
      </w:pPr>
    </w:p>
    <w:p w:rsidR="00323036" w:rsidRPr="00E8769B" w:rsidRDefault="00323036" w:rsidP="00323036">
      <w:pPr>
        <w:pStyle w:val="BodyText2"/>
        <w:spacing w:after="120"/>
        <w:rPr>
          <w:rFonts w:ascii="Times New Roman" w:hAnsi="Times New Roman"/>
          <w:b/>
          <w:bCs/>
          <w:color w:val="auto"/>
          <w:szCs w:val="24"/>
          <w:lang w:val="fr-FR"/>
        </w:rPr>
      </w:pPr>
      <w:r w:rsidRPr="00E8769B">
        <w:rPr>
          <w:rFonts w:ascii="Times New Roman" w:hAnsi="Times New Roman"/>
          <w:b/>
          <w:bCs/>
          <w:color w:val="auto"/>
          <w:szCs w:val="24"/>
          <w:lang w:val="fr-FR"/>
        </w:rPr>
        <w:t>Qualifications et expérience:</w:t>
      </w:r>
    </w:p>
    <w:p w:rsidR="00323036" w:rsidRPr="00E8769B" w:rsidRDefault="00323036" w:rsidP="00323036">
      <w:pPr>
        <w:pStyle w:val="BodyText2"/>
        <w:spacing w:after="120"/>
        <w:rPr>
          <w:rFonts w:ascii="Times New Roman" w:hAnsi="Times New Roman"/>
          <w:b/>
          <w:bCs/>
          <w:color w:val="auto"/>
          <w:szCs w:val="24"/>
          <w:lang w:val="fr-FR"/>
        </w:rPr>
      </w:pPr>
      <w:r w:rsidRPr="00E8769B">
        <w:rPr>
          <w:rFonts w:ascii="Times New Roman" w:hAnsi="Times New Roman"/>
          <w:b/>
          <w:bCs/>
          <w:color w:val="auto"/>
          <w:szCs w:val="24"/>
          <w:lang w:val="fr-FR"/>
        </w:rPr>
        <w:t>Éducation</w:t>
      </w:r>
    </w:p>
    <w:p w:rsidR="00CB3E1D" w:rsidRPr="00E8769B" w:rsidRDefault="00323036" w:rsidP="00B54F62">
      <w:pPr>
        <w:pStyle w:val="BodyText2"/>
        <w:spacing w:after="120"/>
        <w:rPr>
          <w:rFonts w:ascii="Times New Roman" w:hAnsi="Times New Roman"/>
          <w:color w:val="auto"/>
          <w:szCs w:val="24"/>
          <w:lang w:val="fr-FR"/>
        </w:rPr>
      </w:pPr>
      <w:r w:rsidRPr="00E8769B">
        <w:rPr>
          <w:rFonts w:ascii="Times New Roman" w:hAnsi="Times New Roman"/>
          <w:color w:val="auto"/>
          <w:szCs w:val="24"/>
          <w:lang w:val="fr-FR"/>
        </w:rPr>
        <w:t>Le candidat doit être un expert reconnu en Population et Développement, avec de solides compétences en recherche et rédaction, conceptuel</w:t>
      </w:r>
      <w:r w:rsidR="00B54F62" w:rsidRPr="00E8769B">
        <w:rPr>
          <w:rFonts w:ascii="Times New Roman" w:hAnsi="Times New Roman"/>
          <w:color w:val="auto"/>
          <w:szCs w:val="24"/>
          <w:lang w:val="fr-FR"/>
        </w:rPr>
        <w:t>les</w:t>
      </w:r>
      <w:r w:rsidRPr="00E8769B">
        <w:rPr>
          <w:rFonts w:ascii="Times New Roman" w:hAnsi="Times New Roman"/>
          <w:color w:val="auto"/>
          <w:szCs w:val="24"/>
          <w:lang w:val="fr-FR"/>
        </w:rPr>
        <w:t xml:space="preserve"> et analytique</w:t>
      </w:r>
      <w:r w:rsidR="00B54F62" w:rsidRPr="00E8769B">
        <w:rPr>
          <w:rFonts w:ascii="Times New Roman" w:hAnsi="Times New Roman"/>
          <w:color w:val="auto"/>
          <w:szCs w:val="24"/>
          <w:lang w:val="fr-FR"/>
        </w:rPr>
        <w:t>s</w:t>
      </w:r>
      <w:r w:rsidRPr="00E8769B">
        <w:rPr>
          <w:rFonts w:ascii="Times New Roman" w:hAnsi="Times New Roman"/>
          <w:color w:val="auto"/>
          <w:szCs w:val="24"/>
          <w:lang w:val="fr-FR"/>
        </w:rPr>
        <w:t xml:space="preserve"> et une connaissance approfondie de la Conférence Internationale sur la Population et le Développement, y compris la revue de 20 ans et son résultat continental en Afrique (AADPD). Les candidats doivent avoir un </w:t>
      </w:r>
      <w:r w:rsidRPr="00E8769B">
        <w:rPr>
          <w:rFonts w:ascii="Times New Roman" w:hAnsi="Times New Roman"/>
          <w:color w:val="auto"/>
          <w:szCs w:val="24"/>
          <w:lang w:val="fr-FR"/>
        </w:rPr>
        <w:lastRenderedPageBreak/>
        <w:t xml:space="preserve">diplôme d'études supérieures en sciences sociales, en santé publique, en démographie ou dans un domaine connexe et avoir une expérience de recherche connexe. </w:t>
      </w:r>
      <w:r w:rsidR="00B54F62" w:rsidRPr="00E8769B">
        <w:rPr>
          <w:rFonts w:ascii="Times New Roman" w:hAnsi="Times New Roman"/>
          <w:color w:val="auto"/>
          <w:szCs w:val="24"/>
          <w:lang w:val="fr-FR"/>
        </w:rPr>
        <w:t xml:space="preserve">Des connaissances en </w:t>
      </w:r>
      <w:r w:rsidRPr="00E8769B">
        <w:rPr>
          <w:rFonts w:ascii="Times New Roman" w:hAnsi="Times New Roman"/>
          <w:color w:val="auto"/>
          <w:szCs w:val="24"/>
          <w:lang w:val="fr-FR"/>
        </w:rPr>
        <w:t xml:space="preserve">genre, </w:t>
      </w:r>
      <w:r w:rsidR="00B54F62" w:rsidRPr="00E8769B">
        <w:rPr>
          <w:rFonts w:ascii="Times New Roman" w:hAnsi="Times New Roman"/>
          <w:color w:val="auto"/>
          <w:szCs w:val="24"/>
          <w:lang w:val="fr-FR"/>
        </w:rPr>
        <w:t xml:space="preserve">en </w:t>
      </w:r>
      <w:r w:rsidRPr="00E8769B">
        <w:rPr>
          <w:rFonts w:ascii="Times New Roman" w:hAnsi="Times New Roman"/>
          <w:color w:val="auto"/>
          <w:szCs w:val="24"/>
          <w:lang w:val="fr-FR"/>
        </w:rPr>
        <w:t xml:space="preserve">santé sexuelle et reproductive et </w:t>
      </w:r>
      <w:r w:rsidR="00B54F62" w:rsidRPr="00E8769B">
        <w:rPr>
          <w:rFonts w:ascii="Times New Roman" w:hAnsi="Times New Roman"/>
          <w:color w:val="auto"/>
          <w:szCs w:val="24"/>
          <w:lang w:val="fr-FR"/>
        </w:rPr>
        <w:t xml:space="preserve">en </w:t>
      </w:r>
      <w:r w:rsidRPr="00E8769B">
        <w:rPr>
          <w:rFonts w:ascii="Times New Roman" w:hAnsi="Times New Roman"/>
          <w:color w:val="auto"/>
          <w:szCs w:val="24"/>
          <w:lang w:val="fr-FR"/>
        </w:rPr>
        <w:t xml:space="preserve">droits </w:t>
      </w:r>
      <w:r w:rsidR="00B54F62" w:rsidRPr="00E8769B">
        <w:rPr>
          <w:rFonts w:ascii="Times New Roman" w:hAnsi="Times New Roman"/>
          <w:color w:val="auto"/>
          <w:szCs w:val="24"/>
          <w:lang w:val="fr-FR"/>
        </w:rPr>
        <w:t xml:space="preserve">de la reproduction sont </w:t>
      </w:r>
      <w:r w:rsidRPr="00E8769B">
        <w:rPr>
          <w:rFonts w:ascii="Times New Roman" w:hAnsi="Times New Roman"/>
          <w:color w:val="auto"/>
          <w:szCs w:val="24"/>
          <w:lang w:val="fr-FR"/>
        </w:rPr>
        <w:t>fortement recommandé</w:t>
      </w:r>
      <w:r w:rsidR="00B54F62" w:rsidRPr="00E8769B">
        <w:rPr>
          <w:rFonts w:ascii="Times New Roman" w:hAnsi="Times New Roman"/>
          <w:color w:val="auto"/>
          <w:szCs w:val="24"/>
          <w:lang w:val="fr-FR"/>
        </w:rPr>
        <w:t>es</w:t>
      </w:r>
      <w:r w:rsidRPr="00E8769B">
        <w:rPr>
          <w:rFonts w:ascii="Times New Roman" w:hAnsi="Times New Roman"/>
          <w:color w:val="auto"/>
          <w:szCs w:val="24"/>
          <w:lang w:val="fr-FR"/>
        </w:rPr>
        <w:t>.</w:t>
      </w:r>
    </w:p>
    <w:p w:rsidR="006C5E73" w:rsidRPr="00E8769B" w:rsidRDefault="006C5E73" w:rsidP="00B124E4">
      <w:pPr>
        <w:pStyle w:val="BodyText2"/>
        <w:spacing w:after="120"/>
        <w:rPr>
          <w:rFonts w:ascii="Times New Roman" w:hAnsi="Times New Roman"/>
          <w:b/>
          <w:i/>
          <w:iCs/>
          <w:color w:val="auto"/>
          <w:szCs w:val="24"/>
          <w:lang w:val="fr-FR"/>
        </w:rPr>
      </w:pPr>
    </w:p>
    <w:p w:rsidR="00323036" w:rsidRPr="00E8769B" w:rsidRDefault="00323036" w:rsidP="00323036">
      <w:pPr>
        <w:pStyle w:val="BodyText2"/>
        <w:rPr>
          <w:rFonts w:ascii="Times New Roman" w:hAnsi="Times New Roman"/>
          <w:b/>
          <w:bCs/>
          <w:i/>
          <w:iCs/>
          <w:color w:val="auto"/>
          <w:szCs w:val="24"/>
          <w:lang w:val="fr-FR"/>
        </w:rPr>
      </w:pPr>
      <w:r w:rsidRPr="00E8769B">
        <w:rPr>
          <w:rFonts w:ascii="Times New Roman" w:hAnsi="Times New Roman"/>
          <w:b/>
          <w:bCs/>
          <w:i/>
          <w:iCs/>
          <w:color w:val="auto"/>
          <w:szCs w:val="24"/>
          <w:lang w:val="fr-FR"/>
        </w:rPr>
        <w:t>L'expérience professionnelle</w:t>
      </w:r>
    </w:p>
    <w:p w:rsidR="00323036" w:rsidRPr="00E8769B" w:rsidRDefault="00323036" w:rsidP="00323036">
      <w:pPr>
        <w:pStyle w:val="BodyText2"/>
        <w:rPr>
          <w:rFonts w:ascii="Times New Roman" w:hAnsi="Times New Roman"/>
          <w:color w:val="auto"/>
          <w:szCs w:val="24"/>
          <w:lang w:val="fr-FR"/>
        </w:rPr>
      </w:pPr>
      <w:r w:rsidRPr="00E8769B">
        <w:rPr>
          <w:rFonts w:ascii="Times New Roman" w:hAnsi="Times New Roman"/>
          <w:color w:val="auto"/>
          <w:szCs w:val="24"/>
          <w:lang w:val="fr-FR"/>
        </w:rPr>
        <w:t>Au moins 15 années d'expérience avérée dans le suivi et l'évaluation, la rédaction de rapports, l'analyse de données qualitatives et quantitatives et la recherche en matière de population et de développement sont essentielles.</w:t>
      </w:r>
    </w:p>
    <w:p w:rsidR="00323036" w:rsidRPr="00E8769B" w:rsidRDefault="00B54F62" w:rsidP="00B124E4">
      <w:pPr>
        <w:pStyle w:val="BodyText2"/>
        <w:rPr>
          <w:rFonts w:ascii="Times New Roman" w:hAnsi="Times New Roman"/>
          <w:color w:val="auto"/>
          <w:szCs w:val="24"/>
          <w:lang w:val="fr-FR"/>
        </w:rPr>
      </w:pPr>
      <w:r w:rsidRPr="00E8769B">
        <w:rPr>
          <w:rFonts w:ascii="Times New Roman" w:hAnsi="Times New Roman"/>
          <w:color w:val="auto"/>
          <w:szCs w:val="24"/>
          <w:lang w:val="fr-FR"/>
        </w:rPr>
        <w:t>Un d</w:t>
      </w:r>
      <w:r w:rsidR="00323036" w:rsidRPr="00E8769B">
        <w:rPr>
          <w:rFonts w:ascii="Times New Roman" w:hAnsi="Times New Roman"/>
          <w:color w:val="auto"/>
          <w:szCs w:val="24"/>
          <w:lang w:val="fr-FR"/>
        </w:rPr>
        <w:t xml:space="preserve">ossier sonore de publications, revues </w:t>
      </w:r>
      <w:r w:rsidR="00B124E4" w:rsidRPr="00E8769B">
        <w:rPr>
          <w:rFonts w:ascii="Times New Roman" w:hAnsi="Times New Roman"/>
          <w:color w:val="auto"/>
          <w:szCs w:val="24"/>
          <w:lang w:val="fr-FR"/>
        </w:rPr>
        <w:t>évaluées par des pairs</w:t>
      </w:r>
      <w:r w:rsidR="00323036" w:rsidRPr="00E8769B">
        <w:rPr>
          <w:rFonts w:ascii="Times New Roman" w:hAnsi="Times New Roman"/>
          <w:color w:val="auto"/>
          <w:szCs w:val="24"/>
          <w:lang w:val="fr-FR"/>
        </w:rPr>
        <w:t>, publications de l'ONU.</w:t>
      </w:r>
    </w:p>
    <w:p w:rsidR="00323036" w:rsidRPr="00E8769B" w:rsidRDefault="00323036" w:rsidP="00323036">
      <w:pPr>
        <w:pStyle w:val="BodyText2"/>
        <w:rPr>
          <w:rFonts w:ascii="Times New Roman" w:hAnsi="Times New Roman"/>
          <w:color w:val="auto"/>
          <w:szCs w:val="24"/>
          <w:lang w:val="fr-FR"/>
        </w:rPr>
      </w:pPr>
      <w:r w:rsidRPr="00E8769B">
        <w:rPr>
          <w:rFonts w:ascii="Times New Roman" w:hAnsi="Times New Roman"/>
          <w:color w:val="auto"/>
          <w:szCs w:val="24"/>
          <w:lang w:val="fr-FR"/>
        </w:rPr>
        <w:t>Une bonne connaissance de la CIPD et des résultats des conférences d</w:t>
      </w:r>
      <w:r w:rsidR="00B124E4" w:rsidRPr="00E8769B">
        <w:rPr>
          <w:rFonts w:ascii="Times New Roman" w:hAnsi="Times New Roman"/>
          <w:color w:val="auto"/>
          <w:szCs w:val="24"/>
          <w:lang w:val="fr-FR"/>
        </w:rPr>
        <w:t>e revue ou d</w:t>
      </w:r>
      <w:r w:rsidRPr="00E8769B">
        <w:rPr>
          <w:rFonts w:ascii="Times New Roman" w:hAnsi="Times New Roman"/>
          <w:color w:val="auto"/>
          <w:szCs w:val="24"/>
          <w:lang w:val="fr-FR"/>
        </w:rPr>
        <w:t>'examen constitue un avantage supplémentaire, en particulier le processus d'examen de la CIPD au-delà de 2014.</w:t>
      </w:r>
    </w:p>
    <w:p w:rsidR="006C5E73" w:rsidRPr="00E8769B" w:rsidRDefault="006C5E73" w:rsidP="00B124E4">
      <w:pPr>
        <w:pStyle w:val="Heading2"/>
        <w:rPr>
          <w:szCs w:val="18"/>
          <w:lang w:val="fr-FR"/>
        </w:rPr>
      </w:pPr>
    </w:p>
    <w:p w:rsidR="00323036" w:rsidRPr="00E8769B" w:rsidRDefault="00323036" w:rsidP="00323036">
      <w:pPr>
        <w:jc w:val="both"/>
        <w:rPr>
          <w:b/>
          <w:bCs/>
          <w:szCs w:val="18"/>
          <w:lang w:val="fr-FR"/>
        </w:rPr>
      </w:pPr>
      <w:r w:rsidRPr="00E8769B">
        <w:rPr>
          <w:b/>
          <w:bCs/>
          <w:szCs w:val="18"/>
          <w:lang w:val="fr-FR"/>
        </w:rPr>
        <w:t>Compétences</w:t>
      </w:r>
    </w:p>
    <w:p w:rsidR="00323036" w:rsidRPr="00E8769B" w:rsidRDefault="00323036" w:rsidP="00323036">
      <w:pPr>
        <w:jc w:val="both"/>
        <w:rPr>
          <w:b/>
          <w:bCs/>
          <w:szCs w:val="18"/>
          <w:lang w:val="fr-FR"/>
        </w:rPr>
      </w:pPr>
    </w:p>
    <w:p w:rsidR="00323036" w:rsidRPr="00E8769B" w:rsidRDefault="00323036" w:rsidP="00B124E4">
      <w:pPr>
        <w:jc w:val="both"/>
        <w:rPr>
          <w:szCs w:val="18"/>
          <w:lang w:val="fr-FR"/>
        </w:rPr>
      </w:pPr>
      <w:r w:rsidRPr="00E8769B">
        <w:rPr>
          <w:b/>
          <w:bCs/>
          <w:i/>
          <w:iCs/>
          <w:szCs w:val="18"/>
          <w:lang w:val="fr-FR"/>
        </w:rPr>
        <w:t>Professionnalisme:</w:t>
      </w:r>
      <w:r w:rsidRPr="00E8769B">
        <w:rPr>
          <w:szCs w:val="18"/>
          <w:lang w:val="fr-FR"/>
        </w:rPr>
        <w:t xml:space="preserve"> Excellentes capacités d'analyse, de recherche et d</w:t>
      </w:r>
      <w:r w:rsidR="00B124E4" w:rsidRPr="00E8769B">
        <w:rPr>
          <w:szCs w:val="18"/>
          <w:lang w:val="fr-FR"/>
        </w:rPr>
        <w:t xml:space="preserve">e rédaction </w:t>
      </w:r>
      <w:r w:rsidRPr="00E8769B">
        <w:rPr>
          <w:szCs w:val="18"/>
          <w:lang w:val="fr-FR"/>
        </w:rPr>
        <w:t xml:space="preserve">dans les domaines de la population, de la santé et des droits sexuels et </w:t>
      </w:r>
      <w:r w:rsidR="00B124E4" w:rsidRPr="00E8769B">
        <w:rPr>
          <w:szCs w:val="18"/>
          <w:lang w:val="fr-FR"/>
        </w:rPr>
        <w:t>reproductifs</w:t>
      </w:r>
      <w:r w:rsidRPr="00E8769B">
        <w:rPr>
          <w:szCs w:val="18"/>
          <w:lang w:val="fr-FR"/>
        </w:rPr>
        <w:t>, de la jeunesse et des questions de genre. Expertise en suivi-évaluation, Connaissance</w:t>
      </w:r>
      <w:r w:rsidR="00B124E4" w:rsidRPr="00E8769B">
        <w:rPr>
          <w:szCs w:val="18"/>
          <w:lang w:val="fr-FR"/>
        </w:rPr>
        <w:t>s</w:t>
      </w:r>
      <w:r w:rsidRPr="00E8769B">
        <w:rPr>
          <w:szCs w:val="18"/>
          <w:lang w:val="fr-FR"/>
        </w:rPr>
        <w:t xml:space="preserve"> et compréhension des théories et des concepts liés aux sciences sociales, à la santé publique, à la santé sexuelle et reproductive, à la démographie, au dividende démographique et aux questions de développement intégré applicables à la population; connaissance</w:t>
      </w:r>
      <w:r w:rsidR="00B124E4" w:rsidRPr="00E8769B">
        <w:rPr>
          <w:szCs w:val="18"/>
          <w:lang w:val="fr-FR"/>
        </w:rPr>
        <w:t>s</w:t>
      </w:r>
      <w:r w:rsidRPr="00E8769B">
        <w:rPr>
          <w:szCs w:val="18"/>
          <w:lang w:val="fr-FR"/>
        </w:rPr>
        <w:t xml:space="preserve"> du Programme de la CIPD, de la Déclaration d'Addis-Abeba, des cadres continentaux pertinents, des questions de développement social et des cadres des droits de l'homme. La connaissance des données sur la population et le développement, des bases de données pertinentes et des sources de données sur le continent constitue un avantage particulier.</w:t>
      </w:r>
    </w:p>
    <w:p w:rsidR="006C5E73" w:rsidRPr="00E8769B" w:rsidRDefault="006C5E73" w:rsidP="00B124E4">
      <w:pPr>
        <w:jc w:val="both"/>
        <w:rPr>
          <w:lang w:val="fr-FR"/>
        </w:rPr>
      </w:pPr>
      <w:r w:rsidRPr="00E8769B">
        <w:rPr>
          <w:lang w:val="fr-FR"/>
        </w:rPr>
        <w:t xml:space="preserve"> </w:t>
      </w:r>
    </w:p>
    <w:p w:rsidR="00323036" w:rsidRPr="00E8769B" w:rsidRDefault="00323036" w:rsidP="00B124E4">
      <w:pPr>
        <w:jc w:val="both"/>
        <w:rPr>
          <w:lang w:val="fr-FR"/>
        </w:rPr>
      </w:pPr>
      <w:r w:rsidRPr="00E8769B">
        <w:rPr>
          <w:b/>
          <w:bCs/>
          <w:i/>
          <w:iCs/>
          <w:lang w:val="fr-FR"/>
        </w:rPr>
        <w:t>Communication:</w:t>
      </w:r>
      <w:r w:rsidRPr="00E8769B">
        <w:rPr>
          <w:lang w:val="fr-FR"/>
        </w:rPr>
        <w:t xml:space="preserve"> Excellentes capacités d'analyse et d</w:t>
      </w:r>
      <w:r w:rsidR="00B124E4" w:rsidRPr="00E8769B">
        <w:rPr>
          <w:lang w:val="fr-FR"/>
        </w:rPr>
        <w:t>e rédaction, avec la capacité de rédiger</w:t>
      </w:r>
      <w:r w:rsidRPr="00E8769B">
        <w:rPr>
          <w:lang w:val="fr-FR"/>
        </w:rPr>
        <w:t>/ éditer une variété de rapports écrits, et d'incorporer les commentaires pertinents et les contributions de plusieurs sources en temps opportun.</w:t>
      </w:r>
    </w:p>
    <w:p w:rsidR="00323036" w:rsidRPr="00E8769B" w:rsidRDefault="00323036" w:rsidP="00323036">
      <w:pPr>
        <w:jc w:val="both"/>
        <w:rPr>
          <w:lang w:val="fr-FR"/>
        </w:rPr>
      </w:pPr>
    </w:p>
    <w:p w:rsidR="00323036" w:rsidRPr="00E8769B" w:rsidRDefault="00B124E4" w:rsidP="00B124E4">
      <w:pPr>
        <w:jc w:val="both"/>
        <w:rPr>
          <w:lang w:val="fr-FR"/>
        </w:rPr>
      </w:pPr>
      <w:r w:rsidRPr="00E8769B">
        <w:rPr>
          <w:b/>
          <w:bCs/>
          <w:i/>
          <w:iCs/>
          <w:lang w:val="fr-FR"/>
        </w:rPr>
        <w:t xml:space="preserve">Bonnes connaissances des </w:t>
      </w:r>
      <w:proofErr w:type="spellStart"/>
      <w:r w:rsidRPr="00E8769B">
        <w:rPr>
          <w:b/>
          <w:bCs/>
          <w:i/>
          <w:iCs/>
          <w:lang w:val="fr-FR"/>
        </w:rPr>
        <w:t>TICs</w:t>
      </w:r>
      <w:proofErr w:type="spellEnd"/>
      <w:r w:rsidR="00323036" w:rsidRPr="00E8769B">
        <w:rPr>
          <w:lang w:val="fr-FR"/>
        </w:rPr>
        <w:t xml:space="preserve">: Compétences </w:t>
      </w:r>
      <w:r w:rsidRPr="00E8769B">
        <w:rPr>
          <w:lang w:val="fr-FR"/>
        </w:rPr>
        <w:t xml:space="preserve">avérées </w:t>
      </w:r>
      <w:r w:rsidR="00323036" w:rsidRPr="00E8769B">
        <w:rPr>
          <w:lang w:val="fr-FR"/>
        </w:rPr>
        <w:t>en informatique et utilisation de logiciels pertinents et d'autres applications, par ex. traitement de texte et recherche sur Internet.</w:t>
      </w:r>
    </w:p>
    <w:p w:rsidR="00323036" w:rsidRPr="00E8769B" w:rsidRDefault="00323036" w:rsidP="00323036">
      <w:pPr>
        <w:jc w:val="both"/>
        <w:rPr>
          <w:lang w:val="fr-FR"/>
        </w:rPr>
      </w:pPr>
    </w:p>
    <w:p w:rsidR="00323036" w:rsidRPr="00E8769B" w:rsidRDefault="00323036" w:rsidP="00323036">
      <w:pPr>
        <w:jc w:val="both"/>
        <w:rPr>
          <w:lang w:val="fr-FR"/>
        </w:rPr>
      </w:pPr>
      <w:r w:rsidRPr="00E8769B">
        <w:rPr>
          <w:b/>
          <w:bCs/>
          <w:i/>
          <w:iCs/>
          <w:lang w:val="fr-FR"/>
        </w:rPr>
        <w:t>Travail d'équipe</w:t>
      </w:r>
      <w:r w:rsidRPr="00E8769B">
        <w:rPr>
          <w:lang w:val="fr-FR"/>
        </w:rPr>
        <w:t>: Bonnes aptitudes interpersonnelles et aptitude à établir et maintenir des partenariats et des relations de travail efficaces dans un environnement multiculturel et multiethnique, avec tact et dans le respect de la diversité.</w:t>
      </w:r>
    </w:p>
    <w:p w:rsidR="006C5E73" w:rsidRPr="00E8769B" w:rsidRDefault="006C5E73" w:rsidP="006C5E73">
      <w:pPr>
        <w:jc w:val="both"/>
        <w:rPr>
          <w:b/>
          <w:bCs/>
          <w:iCs/>
          <w:lang w:val="fr-FR"/>
        </w:rPr>
      </w:pPr>
    </w:p>
    <w:p w:rsidR="006C5E73" w:rsidRPr="00E8769B" w:rsidRDefault="006C5E73" w:rsidP="00062756">
      <w:pPr>
        <w:jc w:val="both"/>
        <w:rPr>
          <w:lang w:val="fr-FR"/>
        </w:rPr>
      </w:pPr>
      <w:r w:rsidRPr="00E8769B">
        <w:rPr>
          <w:b/>
          <w:bCs/>
          <w:i/>
          <w:iCs/>
          <w:lang w:val="fr-FR"/>
        </w:rPr>
        <w:t>Langue</w:t>
      </w:r>
      <w:r w:rsidRPr="00E8769B">
        <w:rPr>
          <w:b/>
          <w:i/>
          <w:iCs/>
          <w:lang w:val="fr-FR"/>
        </w:rPr>
        <w:t>s</w:t>
      </w:r>
      <w:r w:rsidR="00B124E4" w:rsidRPr="00E8769B">
        <w:rPr>
          <w:lang w:val="fr-FR"/>
        </w:rPr>
        <w:t>: La maîtrise d</w:t>
      </w:r>
      <w:r w:rsidR="00A47CBA">
        <w:rPr>
          <w:lang w:val="fr-FR"/>
        </w:rPr>
        <w:t>u français</w:t>
      </w:r>
      <w:r w:rsidR="00B124E4" w:rsidRPr="00E8769B">
        <w:rPr>
          <w:lang w:val="fr-FR"/>
        </w:rPr>
        <w:t xml:space="preserve"> écrit et oral est requis.</w:t>
      </w:r>
    </w:p>
    <w:p w:rsidR="00323036" w:rsidRPr="00E8769B" w:rsidRDefault="00323036" w:rsidP="00323036">
      <w:pPr>
        <w:rPr>
          <w:lang w:val="fr-FR"/>
        </w:rPr>
      </w:pPr>
    </w:p>
    <w:p w:rsidR="00323036" w:rsidRPr="00E8769B" w:rsidRDefault="00B124E4" w:rsidP="00B124E4">
      <w:pPr>
        <w:rPr>
          <w:b/>
          <w:bCs/>
          <w:i/>
          <w:iCs/>
          <w:lang w:val="fr-FR"/>
        </w:rPr>
      </w:pPr>
      <w:r w:rsidRPr="00E8769B">
        <w:rPr>
          <w:b/>
          <w:bCs/>
          <w:i/>
          <w:iCs/>
          <w:lang w:val="fr-FR"/>
        </w:rPr>
        <w:t xml:space="preserve">Directives </w:t>
      </w:r>
      <w:r w:rsidR="00323036" w:rsidRPr="00E8769B">
        <w:rPr>
          <w:b/>
          <w:bCs/>
          <w:i/>
          <w:iCs/>
          <w:lang w:val="fr-FR"/>
        </w:rPr>
        <w:t>spéciales</w:t>
      </w:r>
    </w:p>
    <w:p w:rsidR="00323036" w:rsidRPr="00E8769B" w:rsidRDefault="00323036" w:rsidP="00323036">
      <w:pPr>
        <w:rPr>
          <w:b/>
          <w:bCs/>
          <w:lang w:val="fr-FR"/>
        </w:rPr>
      </w:pPr>
    </w:p>
    <w:p w:rsidR="0040140C" w:rsidRDefault="00323036" w:rsidP="00E8769B">
      <w:pPr>
        <w:rPr>
          <w:lang w:val="fr-FR"/>
        </w:rPr>
      </w:pPr>
      <w:r w:rsidRPr="00E8769B">
        <w:rPr>
          <w:lang w:val="fr-FR"/>
        </w:rPr>
        <w:t xml:space="preserve">Les </w:t>
      </w:r>
      <w:r w:rsidR="00B124E4" w:rsidRPr="00E8769B">
        <w:rPr>
          <w:lang w:val="fr-FR"/>
        </w:rPr>
        <w:t>Principes Généraux du</w:t>
      </w:r>
      <w:r w:rsidRPr="00E8769B">
        <w:rPr>
          <w:lang w:val="fr-FR"/>
        </w:rPr>
        <w:t xml:space="preserve"> rapport national fourniront d'autres détails techniques.</w:t>
      </w:r>
    </w:p>
    <w:p w:rsidR="00FA463D" w:rsidRDefault="00FA463D" w:rsidP="00E8769B">
      <w:pPr>
        <w:rPr>
          <w:lang w:val="fr-FR"/>
        </w:rPr>
      </w:pPr>
    </w:p>
    <w:p w:rsidR="00FA463D" w:rsidRPr="00FA463D" w:rsidRDefault="00FA463D" w:rsidP="00FA463D">
      <w:pPr>
        <w:rPr>
          <w:lang w:val="fr-FR"/>
        </w:rPr>
      </w:pPr>
      <w:r w:rsidRPr="00FA463D">
        <w:rPr>
          <w:lang w:val="fr-FR"/>
        </w:rPr>
        <w:t>DOSSIER DE CANDIDATURE A FOURNIR</w:t>
      </w:r>
    </w:p>
    <w:p w:rsidR="00FA463D" w:rsidRPr="00FA463D" w:rsidRDefault="00FA463D" w:rsidP="00FA463D">
      <w:pPr>
        <w:rPr>
          <w:lang w:val="fr-FR"/>
        </w:rPr>
      </w:pPr>
    </w:p>
    <w:p w:rsidR="00FA463D" w:rsidRPr="00FA463D" w:rsidRDefault="00FA463D" w:rsidP="00FA463D">
      <w:pPr>
        <w:rPr>
          <w:lang w:val="fr-FR"/>
        </w:rPr>
      </w:pPr>
      <w:r w:rsidRPr="00FA463D">
        <w:rPr>
          <w:lang w:val="fr-FR"/>
        </w:rPr>
        <w:lastRenderedPageBreak/>
        <w:t>Le dossier de candidature doit nécessairement comprendre une offre technique et une offre financière.</w:t>
      </w:r>
    </w:p>
    <w:p w:rsidR="00FA463D" w:rsidRPr="00FA463D" w:rsidRDefault="00FA463D" w:rsidP="00FA463D">
      <w:pPr>
        <w:rPr>
          <w:lang w:val="fr-FR"/>
        </w:rPr>
      </w:pPr>
    </w:p>
    <w:p w:rsidR="00FA463D" w:rsidRPr="00FA463D" w:rsidRDefault="00FA463D" w:rsidP="00FA463D">
      <w:pPr>
        <w:rPr>
          <w:lang w:val="fr-FR"/>
        </w:rPr>
      </w:pPr>
      <w:r w:rsidRPr="00FA463D">
        <w:rPr>
          <w:lang w:val="fr-FR"/>
        </w:rPr>
        <w:t>L’offre technique indiquera la méthodologie proposée, le calendr</w:t>
      </w:r>
      <w:r>
        <w:rPr>
          <w:lang w:val="fr-FR"/>
        </w:rPr>
        <w:t xml:space="preserve">ier de réalisation, les outils </w:t>
      </w:r>
      <w:r w:rsidRPr="00FA463D">
        <w:rPr>
          <w:lang w:val="fr-FR"/>
        </w:rPr>
        <w:t>et tout autre aspect jugé opportun pour l’atteinte de l’objectif.</w:t>
      </w:r>
    </w:p>
    <w:p w:rsidR="00FA463D" w:rsidRPr="00FA463D" w:rsidRDefault="00FA463D" w:rsidP="00FA463D">
      <w:pPr>
        <w:rPr>
          <w:lang w:val="fr-FR"/>
        </w:rPr>
      </w:pPr>
    </w:p>
    <w:p w:rsidR="00FA463D" w:rsidRPr="00FA463D" w:rsidRDefault="00FA463D" w:rsidP="00FA463D">
      <w:pPr>
        <w:rPr>
          <w:lang w:val="fr-FR"/>
        </w:rPr>
      </w:pPr>
      <w:r w:rsidRPr="00FA463D">
        <w:rPr>
          <w:lang w:val="fr-FR"/>
        </w:rPr>
        <w:t>Aussi, elle devra contenir:</w:t>
      </w:r>
    </w:p>
    <w:p w:rsidR="00FA463D" w:rsidRPr="00FA463D" w:rsidRDefault="00FA463D" w:rsidP="00FA463D">
      <w:pPr>
        <w:rPr>
          <w:lang w:val="fr-FR"/>
        </w:rPr>
      </w:pPr>
    </w:p>
    <w:p w:rsidR="00FA463D" w:rsidRPr="00FA463D" w:rsidRDefault="00FA463D" w:rsidP="00FA463D">
      <w:pPr>
        <w:rPr>
          <w:lang w:val="fr-FR"/>
        </w:rPr>
      </w:pPr>
      <w:r w:rsidRPr="00FA463D">
        <w:rPr>
          <w:lang w:val="fr-FR"/>
        </w:rPr>
        <w:t>·         Une lettre de motivation</w:t>
      </w:r>
    </w:p>
    <w:p w:rsidR="00FA463D" w:rsidRPr="00FA463D" w:rsidRDefault="00FA463D" w:rsidP="00FA463D">
      <w:pPr>
        <w:rPr>
          <w:lang w:val="fr-FR"/>
        </w:rPr>
      </w:pPr>
    </w:p>
    <w:p w:rsidR="00FA463D" w:rsidRPr="00FA463D" w:rsidRDefault="00FA463D" w:rsidP="00FA463D">
      <w:pPr>
        <w:rPr>
          <w:lang w:val="fr-FR"/>
        </w:rPr>
      </w:pPr>
      <w:r w:rsidRPr="00FA463D">
        <w:rPr>
          <w:lang w:val="fr-FR"/>
        </w:rPr>
        <w:t>·         Un curriculum vitae récent détaillé, y compris l’expérience acquise dans le domaine recherché</w:t>
      </w:r>
      <w:r>
        <w:rPr>
          <w:lang w:val="fr-FR"/>
        </w:rPr>
        <w:t>.</w:t>
      </w:r>
    </w:p>
    <w:p w:rsidR="00FA463D" w:rsidRPr="00FA463D" w:rsidRDefault="00FA463D" w:rsidP="00FA463D">
      <w:pPr>
        <w:rPr>
          <w:lang w:val="fr-FR"/>
        </w:rPr>
      </w:pPr>
    </w:p>
    <w:p w:rsidR="00FA463D" w:rsidRPr="00FA463D" w:rsidRDefault="00FA463D" w:rsidP="00FA463D">
      <w:pPr>
        <w:rPr>
          <w:lang w:val="fr-FR"/>
        </w:rPr>
      </w:pPr>
      <w:r w:rsidRPr="00FA463D">
        <w:rPr>
          <w:lang w:val="fr-FR"/>
        </w:rPr>
        <w:t xml:space="preserve"> Dépôt des candidatures</w:t>
      </w:r>
    </w:p>
    <w:p w:rsidR="00FA463D" w:rsidRPr="00FA463D" w:rsidRDefault="00FA463D" w:rsidP="00FA463D">
      <w:pPr>
        <w:rPr>
          <w:lang w:val="fr-FR"/>
        </w:rPr>
      </w:pPr>
    </w:p>
    <w:p w:rsidR="00FA463D" w:rsidRPr="00FA463D" w:rsidRDefault="00FA463D" w:rsidP="00FA463D">
      <w:pPr>
        <w:rPr>
          <w:lang w:val="fr-FR"/>
        </w:rPr>
      </w:pPr>
      <w:r w:rsidRPr="00FA463D">
        <w:rPr>
          <w:lang w:val="fr-FR"/>
        </w:rPr>
        <w:t xml:space="preserve">Les candidatures doivent être </w:t>
      </w:r>
      <w:r>
        <w:rPr>
          <w:lang w:val="fr-FR"/>
        </w:rPr>
        <w:t xml:space="preserve">envoyées par email à l’adresse suivante : </w:t>
      </w:r>
      <w:r w:rsidRPr="00FA463D">
        <w:rPr>
          <w:b/>
          <w:bCs/>
          <w:lang w:val="fr-FR"/>
        </w:rPr>
        <w:t>mrtannonces@unfpa.org</w:t>
      </w:r>
    </w:p>
    <w:p w:rsidR="00FA463D" w:rsidRPr="00FA463D" w:rsidRDefault="00FA463D" w:rsidP="00FA463D">
      <w:pPr>
        <w:rPr>
          <w:lang w:val="fr-FR"/>
        </w:rPr>
      </w:pPr>
    </w:p>
    <w:p w:rsidR="00FA463D" w:rsidRPr="00FA463D" w:rsidRDefault="00FA463D" w:rsidP="00FA463D">
      <w:pPr>
        <w:rPr>
          <w:b/>
          <w:bCs/>
          <w:lang w:val="fr-FR"/>
        </w:rPr>
      </w:pPr>
      <w:bookmarkStart w:id="0" w:name="_GoBack"/>
      <w:proofErr w:type="gramStart"/>
      <w:r w:rsidRPr="00FA463D">
        <w:rPr>
          <w:b/>
          <w:bCs/>
          <w:lang w:val="fr-FR"/>
        </w:rPr>
        <w:t>a</w:t>
      </w:r>
      <w:r w:rsidRPr="00FA463D">
        <w:rPr>
          <w:b/>
          <w:bCs/>
          <w:lang w:val="fr-FR"/>
        </w:rPr>
        <w:t>u</w:t>
      </w:r>
      <w:proofErr w:type="gramEnd"/>
      <w:r w:rsidRPr="00FA463D">
        <w:rPr>
          <w:b/>
          <w:bCs/>
          <w:lang w:val="fr-FR"/>
        </w:rPr>
        <w:t xml:space="preserve"> plus tard  le </w:t>
      </w:r>
      <w:r w:rsidRPr="00FA463D">
        <w:rPr>
          <w:b/>
          <w:bCs/>
          <w:lang w:val="fr-FR"/>
        </w:rPr>
        <w:t xml:space="preserve">lundi 12 mars 2018 à 12h </w:t>
      </w:r>
      <w:bookmarkEnd w:id="0"/>
    </w:p>
    <w:sectPr w:rsidR="00FA463D" w:rsidRPr="00FA463D" w:rsidSect="00176A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8F" w:rsidRDefault="004F2B8F" w:rsidP="006C5E73">
      <w:r>
        <w:separator/>
      </w:r>
    </w:p>
  </w:endnote>
  <w:endnote w:type="continuationSeparator" w:id="0">
    <w:p w:rsidR="004F2B8F" w:rsidRDefault="004F2B8F" w:rsidP="006C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773169"/>
      <w:docPartObj>
        <w:docPartGallery w:val="Page Numbers (Bottom of Page)"/>
        <w:docPartUnique/>
      </w:docPartObj>
    </w:sdtPr>
    <w:sdtEndPr>
      <w:rPr>
        <w:noProof/>
      </w:rPr>
    </w:sdtEndPr>
    <w:sdtContent>
      <w:p w:rsidR="00B124E4" w:rsidRDefault="004F2B8F">
        <w:pPr>
          <w:pStyle w:val="Footer"/>
          <w:jc w:val="right"/>
        </w:pPr>
        <w:r>
          <w:fldChar w:fldCharType="begin"/>
        </w:r>
        <w:r>
          <w:instrText xml:space="preserve"> PAGE   \* MERGEFORMAT </w:instrText>
        </w:r>
        <w:r>
          <w:fldChar w:fldCharType="separate"/>
        </w:r>
        <w:r w:rsidR="00FA463D">
          <w:rPr>
            <w:noProof/>
          </w:rPr>
          <w:t>5</w:t>
        </w:r>
        <w:r>
          <w:rPr>
            <w:noProof/>
          </w:rPr>
          <w:fldChar w:fldCharType="end"/>
        </w:r>
      </w:p>
    </w:sdtContent>
  </w:sdt>
  <w:p w:rsidR="00B124E4" w:rsidRDefault="00B1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8F" w:rsidRDefault="004F2B8F" w:rsidP="006C5E73">
      <w:r>
        <w:separator/>
      </w:r>
    </w:p>
  </w:footnote>
  <w:footnote w:type="continuationSeparator" w:id="0">
    <w:p w:rsidR="004F2B8F" w:rsidRDefault="004F2B8F" w:rsidP="006C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E4" w:rsidRPr="00DC5BA6" w:rsidRDefault="00B124E4" w:rsidP="00DC5BA6">
    <w:pPr>
      <w:pStyle w:val="BodyText"/>
      <w:jc w:val="both"/>
      <w:rPr>
        <w:b/>
        <w:lang w:val="fr-FR"/>
      </w:rPr>
    </w:pPr>
    <w:r w:rsidRPr="00A13C10">
      <w:rPr>
        <w:b/>
        <w:lang w:val="fr-FR"/>
      </w:rPr>
      <w:t>TERMES DE REFERENCE D’UN CONS</w:t>
    </w:r>
    <w:r>
      <w:rPr>
        <w:b/>
        <w:lang w:val="fr-FR"/>
      </w:rPr>
      <w:t xml:space="preserve">ULTANT NATIONAL POUR L’ELABORATION DE RAPPORTS NATIONAUX POUR LA CIPD @ 25 EXAMEN DU </w:t>
    </w:r>
    <w:r w:rsidRPr="00A13C10">
      <w:rPr>
        <w:b/>
        <w:lang w:val="fr-FR"/>
      </w:rPr>
      <w:t>PROCESSUS EN AFRIQUE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6C1F"/>
    <w:multiLevelType w:val="hybridMultilevel"/>
    <w:tmpl w:val="7BB6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C6A5C"/>
    <w:multiLevelType w:val="hybridMultilevel"/>
    <w:tmpl w:val="6322734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73"/>
    <w:rsid w:val="00062756"/>
    <w:rsid w:val="00093926"/>
    <w:rsid w:val="000A60AC"/>
    <w:rsid w:val="000A6DFD"/>
    <w:rsid w:val="000B5826"/>
    <w:rsid w:val="000D0061"/>
    <w:rsid w:val="00117B5E"/>
    <w:rsid w:val="00135F0D"/>
    <w:rsid w:val="00176A60"/>
    <w:rsid w:val="001E4511"/>
    <w:rsid w:val="002B560D"/>
    <w:rsid w:val="002D4174"/>
    <w:rsid w:val="00323036"/>
    <w:rsid w:val="0040140C"/>
    <w:rsid w:val="00420CDC"/>
    <w:rsid w:val="00473978"/>
    <w:rsid w:val="004C3192"/>
    <w:rsid w:val="004D3F37"/>
    <w:rsid w:val="004F2B8F"/>
    <w:rsid w:val="00545616"/>
    <w:rsid w:val="00554767"/>
    <w:rsid w:val="005A5FED"/>
    <w:rsid w:val="005C0E62"/>
    <w:rsid w:val="00674AD9"/>
    <w:rsid w:val="006B1651"/>
    <w:rsid w:val="006C4619"/>
    <w:rsid w:val="006C5E73"/>
    <w:rsid w:val="006F243B"/>
    <w:rsid w:val="007B40E5"/>
    <w:rsid w:val="007E10C8"/>
    <w:rsid w:val="0081018F"/>
    <w:rsid w:val="008812FE"/>
    <w:rsid w:val="008A06B6"/>
    <w:rsid w:val="008A7C0C"/>
    <w:rsid w:val="008B1265"/>
    <w:rsid w:val="008D6931"/>
    <w:rsid w:val="00925171"/>
    <w:rsid w:val="009301E6"/>
    <w:rsid w:val="00933131"/>
    <w:rsid w:val="0097391C"/>
    <w:rsid w:val="00985B39"/>
    <w:rsid w:val="00A13C10"/>
    <w:rsid w:val="00A31D23"/>
    <w:rsid w:val="00A36430"/>
    <w:rsid w:val="00A47CBA"/>
    <w:rsid w:val="00AF7B4D"/>
    <w:rsid w:val="00B124E4"/>
    <w:rsid w:val="00B54F62"/>
    <w:rsid w:val="00B90919"/>
    <w:rsid w:val="00BC0B82"/>
    <w:rsid w:val="00BC6076"/>
    <w:rsid w:val="00C054BF"/>
    <w:rsid w:val="00C20384"/>
    <w:rsid w:val="00CB3E1D"/>
    <w:rsid w:val="00CB5EE6"/>
    <w:rsid w:val="00CC59F4"/>
    <w:rsid w:val="00DA29B1"/>
    <w:rsid w:val="00DC5BA6"/>
    <w:rsid w:val="00DF491E"/>
    <w:rsid w:val="00E05EA5"/>
    <w:rsid w:val="00E41C4F"/>
    <w:rsid w:val="00E8769B"/>
    <w:rsid w:val="00F4065A"/>
    <w:rsid w:val="00FA463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AAC85-D746-43C5-8018-05CC0A5B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73"/>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6C5E73"/>
    <w:pPr>
      <w:keepNext/>
      <w:jc w:val="both"/>
      <w:outlineLvl w:val="1"/>
    </w:pPr>
    <w:rPr>
      <w:b/>
      <w:bCs/>
      <w:sz w:val="28"/>
      <w:lang w:val="en-US" w:eastAsia="en-US"/>
    </w:rPr>
  </w:style>
  <w:style w:type="paragraph" w:styleId="Heading3">
    <w:name w:val="heading 3"/>
    <w:basedOn w:val="Default"/>
    <w:next w:val="Default"/>
    <w:link w:val="Heading3Char"/>
    <w:qFormat/>
    <w:rsid w:val="006C5E73"/>
    <w:pPr>
      <w:outlineLvl w:val="2"/>
    </w:pPr>
    <w:rPr>
      <w:rFonts w:ascii="Bookman Old Style" w:hAnsi="Bookman Old Style"/>
      <w:color w:val="auto"/>
    </w:rPr>
  </w:style>
  <w:style w:type="paragraph" w:styleId="Heading4">
    <w:name w:val="heading 4"/>
    <w:basedOn w:val="Normal"/>
    <w:next w:val="Normal"/>
    <w:link w:val="Heading4Char"/>
    <w:qFormat/>
    <w:rsid w:val="006C5E73"/>
    <w:pPr>
      <w:keepNext/>
      <w:jc w:val="both"/>
      <w:outlineLvl w:val="3"/>
    </w:pPr>
    <w:rPr>
      <w:rFonts w:ascii="Arial" w:hAnsi="Arial" w:cs="Arial"/>
      <w:b/>
      <w:bCs/>
      <w:color w:val="00000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1E"/>
    <w:pPr>
      <w:ind w:left="720"/>
      <w:contextualSpacing/>
    </w:pPr>
  </w:style>
  <w:style w:type="paragraph" w:styleId="Header">
    <w:name w:val="header"/>
    <w:basedOn w:val="Normal"/>
    <w:link w:val="HeaderChar"/>
    <w:uiPriority w:val="99"/>
    <w:unhideWhenUsed/>
    <w:rsid w:val="006C5E73"/>
    <w:pPr>
      <w:tabs>
        <w:tab w:val="center" w:pos="4680"/>
        <w:tab w:val="right" w:pos="9360"/>
      </w:tabs>
    </w:pPr>
  </w:style>
  <w:style w:type="character" w:customStyle="1" w:styleId="HeaderChar">
    <w:name w:val="Header Char"/>
    <w:basedOn w:val="DefaultParagraphFont"/>
    <w:link w:val="Header"/>
    <w:uiPriority w:val="99"/>
    <w:rsid w:val="006C5E73"/>
  </w:style>
  <w:style w:type="paragraph" w:styleId="Footer">
    <w:name w:val="footer"/>
    <w:basedOn w:val="Normal"/>
    <w:link w:val="FooterChar"/>
    <w:uiPriority w:val="99"/>
    <w:unhideWhenUsed/>
    <w:rsid w:val="006C5E73"/>
    <w:pPr>
      <w:tabs>
        <w:tab w:val="center" w:pos="4680"/>
        <w:tab w:val="right" w:pos="9360"/>
      </w:tabs>
    </w:pPr>
  </w:style>
  <w:style w:type="character" w:customStyle="1" w:styleId="FooterChar">
    <w:name w:val="Footer Char"/>
    <w:basedOn w:val="DefaultParagraphFont"/>
    <w:link w:val="Footer"/>
    <w:uiPriority w:val="99"/>
    <w:rsid w:val="006C5E73"/>
  </w:style>
  <w:style w:type="character" w:customStyle="1" w:styleId="Heading2Char">
    <w:name w:val="Heading 2 Char"/>
    <w:basedOn w:val="DefaultParagraphFont"/>
    <w:link w:val="Heading2"/>
    <w:rsid w:val="006C5E7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6C5E73"/>
    <w:rPr>
      <w:rFonts w:ascii="Bookman Old Style" w:eastAsia="Times New Roman" w:hAnsi="Bookman Old Style" w:cs="Times New Roman"/>
      <w:sz w:val="24"/>
      <w:szCs w:val="24"/>
    </w:rPr>
  </w:style>
  <w:style w:type="character" w:customStyle="1" w:styleId="Heading4Char">
    <w:name w:val="Heading 4 Char"/>
    <w:basedOn w:val="DefaultParagraphFont"/>
    <w:link w:val="Heading4"/>
    <w:rsid w:val="006C5E73"/>
    <w:rPr>
      <w:rFonts w:ascii="Arial" w:eastAsia="Times New Roman" w:hAnsi="Arial" w:cs="Arial"/>
      <w:b/>
      <w:bCs/>
      <w:color w:val="000000"/>
      <w:sz w:val="24"/>
      <w:szCs w:val="28"/>
    </w:rPr>
  </w:style>
  <w:style w:type="paragraph" w:customStyle="1" w:styleId="Default">
    <w:name w:val="Default"/>
    <w:rsid w:val="006C5E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6C5E73"/>
    <w:pPr>
      <w:jc w:val="both"/>
    </w:pPr>
    <w:rPr>
      <w:rFonts w:ascii="Garamond" w:hAnsi="Garamond"/>
      <w:color w:val="000000"/>
      <w:szCs w:val="22"/>
    </w:rPr>
  </w:style>
  <w:style w:type="character" w:customStyle="1" w:styleId="BodyText2Char">
    <w:name w:val="Body Text 2 Char"/>
    <w:basedOn w:val="DefaultParagraphFont"/>
    <w:link w:val="BodyText2"/>
    <w:rsid w:val="006C5E73"/>
    <w:rPr>
      <w:rFonts w:ascii="Garamond" w:eastAsia="Times New Roman" w:hAnsi="Garamond" w:cs="Times New Roman"/>
      <w:color w:val="000000"/>
      <w:sz w:val="24"/>
      <w:lang w:val="en-GB" w:eastAsia="en-GB"/>
    </w:rPr>
  </w:style>
  <w:style w:type="paragraph" w:styleId="BodyText">
    <w:name w:val="Body Text"/>
    <w:basedOn w:val="Normal"/>
    <w:link w:val="BodyTextChar"/>
    <w:rsid w:val="006C5E73"/>
    <w:pPr>
      <w:spacing w:after="120"/>
    </w:pPr>
  </w:style>
  <w:style w:type="character" w:customStyle="1" w:styleId="BodyTextChar">
    <w:name w:val="Body Text Char"/>
    <w:basedOn w:val="DefaultParagraphFont"/>
    <w:link w:val="BodyText"/>
    <w:rsid w:val="006C5E73"/>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6C5E73"/>
    <w:rPr>
      <w:sz w:val="20"/>
      <w:szCs w:val="20"/>
    </w:rPr>
  </w:style>
  <w:style w:type="character" w:customStyle="1" w:styleId="FootnoteTextChar">
    <w:name w:val="Footnote Text Char"/>
    <w:basedOn w:val="DefaultParagraphFont"/>
    <w:link w:val="FootnoteText"/>
    <w:rsid w:val="006C5E73"/>
    <w:rPr>
      <w:rFonts w:ascii="Times New Roman" w:eastAsia="Times New Roman" w:hAnsi="Times New Roman" w:cs="Times New Roman"/>
      <w:sz w:val="20"/>
      <w:szCs w:val="20"/>
      <w:lang w:val="en-GB" w:eastAsia="en-GB"/>
    </w:rPr>
  </w:style>
  <w:style w:type="character" w:styleId="FootnoteReference">
    <w:name w:val="footnote reference"/>
    <w:rsid w:val="006C5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1846</Words>
  <Characters>10158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Nkeiruka Didigu</dc:creator>
  <cp:lastModifiedBy>Aidara</cp:lastModifiedBy>
  <cp:revision>4</cp:revision>
  <dcterms:created xsi:type="dcterms:W3CDTF">2018-03-02T11:10:00Z</dcterms:created>
  <dcterms:modified xsi:type="dcterms:W3CDTF">2018-03-02T11:18:00Z</dcterms:modified>
</cp:coreProperties>
</file>